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ИНСТРУКЦИЯ</w:t>
      </w:r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по</w:t>
      </w:r>
      <w:r>
        <w:rPr>
          <w:rFonts w:ascii="Times New Roman" w:hAnsi="Times New Roman"/>
          <w:b w:val="1"/>
          <w:sz w:val="32"/>
        </w:rPr>
        <w:t xml:space="preserve"> заполнению заявления на санаторно-курортное лечение работников АПК Республики Саха (Якутия) 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в</w:t>
      </w:r>
      <w:r>
        <w:rPr>
          <w:rFonts w:ascii="Times New Roman" w:hAnsi="Times New Roman"/>
          <w:b w:val="1"/>
          <w:sz w:val="32"/>
        </w:rPr>
        <w:t xml:space="preserve"> электронной форме</w:t>
      </w: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повышения качества и доступности предоставления государственной услуги Республики Саха (Якутия)</w:t>
      </w:r>
      <w:r>
        <w:rPr>
          <w:rFonts w:ascii="Times New Roman" w:hAnsi="Times New Roman"/>
          <w:sz w:val="28"/>
        </w:rPr>
        <w:t xml:space="preserve"> по предоставлению льготной путевки на санаторно-курортное лечение работников АПК РС(Я), обращении заявителей </w:t>
      </w:r>
      <w:r>
        <w:rPr>
          <w:rFonts w:ascii="Times New Roman" w:hAnsi="Times New Roman"/>
          <w:sz w:val="28"/>
        </w:rPr>
        <w:t>подаются посредством заполнения заявления в электронной форме через портал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Госуслуги</w:t>
      </w:r>
      <w:r>
        <w:rPr>
          <w:rFonts w:ascii="Times New Roman" w:hAnsi="Times New Roman"/>
          <w:sz w:val="28"/>
        </w:rPr>
        <w:t>».</w:t>
      </w:r>
    </w:p>
    <w:p w14:paraId="07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8000000">
      <w:pPr>
        <w:spacing w:after="113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Требуемые документы для включения в список получателей ль</w:t>
      </w:r>
      <w:r>
        <w:rPr>
          <w:rFonts w:ascii="Times New Roman" w:hAnsi="Times New Roman"/>
          <w:sz w:val="28"/>
        </w:rPr>
        <w:t>готных путевок работников АПК, представляемые в ГКУ «ЦРО АПК»:</w:t>
      </w:r>
    </w:p>
    <w:p w14:paraId="09000000">
      <w:pPr>
        <w:spacing w:after="113" w:line="276" w:lineRule="auto"/>
        <w:ind w:firstLine="709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b w:val="1"/>
          <w:sz w:val="28"/>
        </w:rPr>
        <w:t xml:space="preserve">Заявление </w:t>
      </w:r>
      <w:r>
        <w:rPr>
          <w:rFonts w:ascii="Times New Roman" w:hAnsi="Times New Roman"/>
          <w:sz w:val="28"/>
        </w:rPr>
        <w:t>о предоставлении льготной путевки,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i w:val="1"/>
          <w:sz w:val="26"/>
        </w:rPr>
        <w:t>(</w:t>
      </w:r>
      <w:r>
        <w:rPr>
          <w:rFonts w:ascii="Times New Roman" w:hAnsi="Times New Roman"/>
          <w:b w:val="1"/>
          <w:i w:val="1"/>
          <w:sz w:val="26"/>
        </w:rPr>
        <w:t>при подаче в электронной форме заявление</w:t>
      </w:r>
      <w:r>
        <w:rPr>
          <w:rFonts w:ascii="Times New Roman" w:hAnsi="Times New Roman"/>
          <w:i w:val="1"/>
          <w:sz w:val="26"/>
        </w:rPr>
        <w:t xml:space="preserve"> заполняется автоматически из внесенных личных данных в </w:t>
      </w:r>
      <w:r>
        <w:rPr>
          <w:rFonts w:ascii="Times New Roman" w:hAnsi="Times New Roman"/>
          <w:i w:val="1"/>
          <w:sz w:val="26"/>
        </w:rPr>
        <w:t>Госуслугах</w:t>
      </w:r>
      <w:r>
        <w:rPr>
          <w:rFonts w:ascii="Times New Roman" w:hAnsi="Times New Roman"/>
          <w:i w:val="1"/>
          <w:sz w:val="26"/>
        </w:rPr>
        <w:t xml:space="preserve"> при регистрации)</w:t>
      </w:r>
      <w:r>
        <w:rPr>
          <w:rFonts w:ascii="Times New Roman" w:hAnsi="Times New Roman"/>
          <w:sz w:val="26"/>
        </w:rPr>
        <w:t>.</w:t>
      </w:r>
    </w:p>
    <w:p w14:paraId="0A000000">
      <w:pPr>
        <w:spacing w:after="113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b w:val="1"/>
          <w:sz w:val="28"/>
        </w:rPr>
        <w:t>Справка</w:t>
      </w:r>
      <w:r>
        <w:rPr>
          <w:rFonts w:ascii="Times New Roman" w:hAnsi="Times New Roman"/>
          <w:sz w:val="28"/>
        </w:rPr>
        <w:t xml:space="preserve"> для полу</w:t>
      </w:r>
      <w:r>
        <w:rPr>
          <w:rFonts w:ascii="Times New Roman" w:hAnsi="Times New Roman"/>
          <w:sz w:val="28"/>
        </w:rPr>
        <w:t xml:space="preserve">чения путевки на санаторно-курортное лечение по </w:t>
      </w:r>
      <w:r>
        <w:rPr>
          <w:rFonts w:ascii="Times New Roman" w:hAnsi="Times New Roman"/>
          <w:b w:val="1"/>
          <w:sz w:val="26"/>
        </w:rPr>
        <w:t>форме 070/у</w:t>
      </w:r>
      <w:r>
        <w:rPr>
          <w:rFonts w:ascii="Times New Roman" w:hAnsi="Times New Roman"/>
          <w:sz w:val="28"/>
        </w:rPr>
        <w:t xml:space="preserve">, выдаваемое медицинской организацией по месту жительства </w:t>
      </w:r>
      <w:r>
        <w:rPr>
          <w:rFonts w:ascii="Times New Roman" w:hAnsi="Times New Roman"/>
          <w:i w:val="1"/>
          <w:sz w:val="26"/>
        </w:rPr>
        <w:t>(</w:t>
      </w:r>
      <w:r>
        <w:rPr>
          <w:rFonts w:ascii="Times New Roman" w:hAnsi="Times New Roman"/>
          <w:b w:val="1"/>
          <w:i w:val="1"/>
          <w:sz w:val="26"/>
        </w:rPr>
        <w:t>не путать с</w:t>
      </w: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6"/>
        </w:rPr>
        <w:t>санаторно-курортной картой по форме 072/у</w:t>
      </w:r>
      <w:r>
        <w:rPr>
          <w:rFonts w:ascii="Times New Roman" w:hAnsi="Times New Roman"/>
          <w:i w:val="1"/>
          <w:sz w:val="26"/>
        </w:rPr>
        <w:t>)</w:t>
      </w:r>
      <w:r>
        <w:rPr>
          <w:rFonts w:ascii="Times New Roman" w:hAnsi="Times New Roman"/>
          <w:sz w:val="28"/>
        </w:rPr>
        <w:t xml:space="preserve">. </w:t>
      </w:r>
    </w:p>
    <w:p w14:paraId="0B000000">
      <w:pPr>
        <w:spacing w:after="113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Копия </w:t>
      </w:r>
      <w:r>
        <w:rPr>
          <w:rFonts w:ascii="Times New Roman" w:hAnsi="Times New Roman"/>
          <w:b w:val="1"/>
          <w:sz w:val="28"/>
        </w:rPr>
        <w:t>паспорта</w:t>
      </w:r>
      <w:r>
        <w:rPr>
          <w:rFonts w:ascii="Times New Roman" w:hAnsi="Times New Roman"/>
          <w:sz w:val="28"/>
        </w:rPr>
        <w:t xml:space="preserve"> гражданина РФ </w:t>
      </w:r>
      <w:r>
        <w:rPr>
          <w:rFonts w:ascii="Times New Roman" w:hAnsi="Times New Roman"/>
          <w:i w:val="1"/>
          <w:sz w:val="26"/>
        </w:rPr>
        <w:t>(не все страницы паспорта, а только страницы с фо</w:t>
      </w:r>
      <w:r>
        <w:rPr>
          <w:rFonts w:ascii="Times New Roman" w:hAnsi="Times New Roman"/>
          <w:i w:val="1"/>
          <w:sz w:val="26"/>
        </w:rPr>
        <w:t>то и место регистрации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8"/>
        </w:rPr>
        <w:t>.</w:t>
      </w:r>
    </w:p>
    <w:p w14:paraId="0C000000">
      <w:pPr>
        <w:spacing w:after="113" w:line="276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4. Копия </w:t>
      </w:r>
      <w:r>
        <w:rPr>
          <w:rFonts w:ascii="Times New Roman" w:hAnsi="Times New Roman"/>
          <w:b w:val="1"/>
          <w:sz w:val="28"/>
        </w:rPr>
        <w:t xml:space="preserve">трудовой книжки, </w:t>
      </w:r>
      <w:r>
        <w:rPr>
          <w:rFonts w:ascii="Times New Roman" w:hAnsi="Times New Roman"/>
          <w:sz w:val="28"/>
        </w:rPr>
        <w:t>и/или</w:t>
      </w:r>
      <w:r>
        <w:rPr>
          <w:rFonts w:ascii="Times New Roman" w:hAnsi="Times New Roman"/>
          <w:b w:val="1"/>
          <w:sz w:val="28"/>
        </w:rPr>
        <w:t xml:space="preserve"> сведение о трудовой деятельности в соответствии со ст. 66.1 ТК РФ</w:t>
      </w:r>
      <w:r>
        <w:rPr>
          <w:rFonts w:ascii="Times New Roman" w:hAnsi="Times New Roman"/>
          <w:b w:val="1"/>
          <w:sz w:val="26"/>
        </w:rPr>
        <w:t xml:space="preserve"> </w:t>
      </w:r>
      <w:r>
        <w:rPr>
          <w:rFonts w:ascii="Times New Roman" w:hAnsi="Times New Roman"/>
          <w:i w:val="1"/>
          <w:sz w:val="26"/>
        </w:rPr>
        <w:t xml:space="preserve">(заявитель самостоятельно через </w:t>
      </w:r>
      <w:r>
        <w:rPr>
          <w:rFonts w:ascii="Times New Roman" w:hAnsi="Times New Roman"/>
          <w:i w:val="1"/>
          <w:sz w:val="26"/>
        </w:rPr>
        <w:t>Госуслуги</w:t>
      </w:r>
      <w:r>
        <w:rPr>
          <w:rFonts w:ascii="Times New Roman" w:hAnsi="Times New Roman"/>
          <w:i w:val="1"/>
          <w:sz w:val="26"/>
        </w:rPr>
        <w:t xml:space="preserve"> может запросить </w:t>
      </w:r>
      <w:r>
        <w:rPr>
          <w:rFonts w:ascii="Times New Roman" w:hAnsi="Times New Roman"/>
          <w:i w:val="1"/>
          <w:sz w:val="26"/>
        </w:rPr>
        <w:t>электронную трудовую книжку в СФР и загрузить вместо трудовой книжки)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0D000000">
      <w:pPr>
        <w:spacing w:after="0" w:line="276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 </w:t>
      </w:r>
    </w:p>
    <w:p w14:paraId="0E000000">
      <w:pPr>
        <w:spacing w:after="113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подачи заявления в </w:t>
      </w:r>
      <w:r>
        <w:rPr>
          <w:rFonts w:ascii="Times New Roman" w:hAnsi="Times New Roman"/>
          <w:b w:val="1"/>
          <w:sz w:val="28"/>
        </w:rPr>
        <w:t>электронной форме</w:t>
      </w:r>
      <w:r>
        <w:rPr>
          <w:rFonts w:ascii="Times New Roman" w:hAnsi="Times New Roman"/>
          <w:sz w:val="28"/>
        </w:rPr>
        <w:t xml:space="preserve"> заявителям необходимо войти в портал «</w:t>
      </w:r>
      <w:r>
        <w:rPr>
          <w:rFonts w:ascii="Times New Roman" w:hAnsi="Times New Roman"/>
          <w:sz w:val="28"/>
        </w:rPr>
        <w:t>Госуслуг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b w:val="1"/>
          <w:sz w:val="28"/>
        </w:rPr>
        <w:t>со своим логином и паролем</w:t>
      </w:r>
      <w:r>
        <w:rPr>
          <w:rFonts w:ascii="Times New Roman" w:hAnsi="Times New Roman"/>
          <w:sz w:val="28"/>
        </w:rPr>
        <w:t>.</w:t>
      </w:r>
    </w:p>
    <w:p w14:paraId="0F000000">
      <w:pPr>
        <w:pStyle w:val="Style_1"/>
        <w:numPr>
          <w:ilvl w:val="0"/>
          <w:numId w:val="1"/>
        </w:numPr>
        <w:tabs>
          <w:tab w:leader="none" w:pos="1276" w:val="left"/>
        </w:tabs>
        <w:spacing w:after="113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входа в са</w:t>
      </w:r>
      <w:bookmarkStart w:id="1" w:name="_GoBack"/>
      <w:bookmarkEnd w:id="1"/>
      <w:r>
        <w:rPr>
          <w:rFonts w:ascii="Times New Roman" w:hAnsi="Times New Roman"/>
          <w:sz w:val="28"/>
        </w:rPr>
        <w:t xml:space="preserve">йт </w:t>
      </w:r>
      <w:r>
        <w:rPr>
          <w:rFonts w:ascii="Times New Roman" w:hAnsi="Times New Roman"/>
          <w:sz w:val="28"/>
        </w:rPr>
        <w:t xml:space="preserve">в поисковике необходимо найти государственную услугу по </w:t>
      </w:r>
      <w:r>
        <w:rPr>
          <w:rFonts w:ascii="Times New Roman" w:hAnsi="Times New Roman"/>
          <w:sz w:val="28"/>
        </w:rPr>
        <w:t>ключевым словам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  <w:u w:val="single"/>
        </w:rPr>
        <w:t>«</w:t>
      </w:r>
      <w:r>
        <w:rPr>
          <w:rFonts w:ascii="Times New Roman" w:hAnsi="Times New Roman"/>
          <w:i w:val="1"/>
          <w:sz w:val="28"/>
          <w:u w:val="single"/>
        </w:rPr>
        <w:t>Путевка в санаторий для работников АПК</w:t>
      </w:r>
      <w:r>
        <w:rPr>
          <w:rFonts w:ascii="Times New Roman" w:hAnsi="Times New Roman"/>
          <w:i w:val="1"/>
          <w:sz w:val="28"/>
          <w:u w:val="single"/>
        </w:rPr>
        <w:t>»</w:t>
      </w:r>
      <w:r>
        <w:rPr>
          <w:rFonts w:ascii="Times New Roman" w:hAnsi="Times New Roman"/>
          <w:sz w:val="28"/>
        </w:rPr>
        <w:t>. Прямая ссылка на услугу: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2_ch"/>
          <w:rFonts w:ascii="Times New Roman" w:hAnsi="Times New Roman"/>
          <w:sz w:val="28"/>
        </w:rPr>
        <w:fldChar w:fldCharType="begin"/>
      </w:r>
      <w:r>
        <w:rPr>
          <w:rStyle w:val="Style_2_ch"/>
          <w:rFonts w:ascii="Times New Roman" w:hAnsi="Times New Roman"/>
          <w:sz w:val="28"/>
        </w:rPr>
        <w:instrText>HYPERLINK "https://www.gosuslugi.ru/655161/1/form"</w:instrText>
      </w:r>
      <w:r>
        <w:rPr>
          <w:rStyle w:val="Style_2_ch"/>
          <w:rFonts w:ascii="Times New Roman" w:hAnsi="Times New Roman"/>
          <w:sz w:val="28"/>
        </w:rPr>
        <w:fldChar w:fldCharType="separate"/>
      </w:r>
      <w:r>
        <w:rPr>
          <w:rStyle w:val="Style_2_ch"/>
          <w:rFonts w:ascii="Times New Roman" w:hAnsi="Times New Roman"/>
          <w:sz w:val="28"/>
        </w:rPr>
        <w:t>https://www.gosuslugi.ru/655161/1/form</w:t>
      </w:r>
      <w:r>
        <w:rPr>
          <w:rStyle w:val="Style_2_ch"/>
          <w:rFonts w:ascii="Times New Roman" w:hAnsi="Times New Roman"/>
          <w:sz w:val="28"/>
        </w:rPr>
        <w:fldChar w:fldCharType="end"/>
      </w:r>
    </w:p>
    <w:p w14:paraId="10000000">
      <w:pPr>
        <w:numPr>
          <w:ilvl w:val="0"/>
          <w:numId w:val="1"/>
        </w:numPr>
        <w:tabs>
          <w:tab w:leader="none" w:pos="1276" w:val="left"/>
        </w:tabs>
        <w:spacing w:after="113" w:line="276" w:lineRule="auto"/>
        <w:ind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</w:rPr>
        <w:t>Откроется окно с названием услуги.</w:t>
      </w:r>
    </w:p>
    <w:p w14:paraId="11000000">
      <w:pPr>
        <w:numPr>
          <w:ilvl w:val="0"/>
          <w:numId w:val="1"/>
        </w:numPr>
        <w:tabs>
          <w:tab w:leader="none" w:pos="1276" w:val="left"/>
        </w:tabs>
        <w:spacing w:after="113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пошагово в соответствии с вложенными скриншотами.</w:t>
      </w:r>
    </w:p>
    <w:p w14:paraId="12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3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4000000">
      <w:pPr>
        <w:numPr>
          <w:ilvl w:val="0"/>
          <w:numId w:val="2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1. Нажать на окошко «Начать»</w:t>
      </w:r>
    </w:p>
    <w:p w14:paraId="15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57378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35737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7000000">
      <w:pPr>
        <w:numPr>
          <w:ilvl w:val="0"/>
          <w:numId w:val="3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2. Выбрать «За себя»</w:t>
      </w:r>
    </w:p>
    <w:p w14:paraId="18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122539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41225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A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B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1C000000">
      <w:pPr>
        <w:numPr>
          <w:ilvl w:val="0"/>
          <w:numId w:val="4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3. Выбрать «В личном кабинете»</w:t>
      </w:r>
    </w:p>
    <w:p w14:paraId="1D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684389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6843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1F000000">
      <w:pPr>
        <w:numPr>
          <w:ilvl w:val="0"/>
          <w:numId w:val="5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Шаг 4. Со списка необходимо </w:t>
      </w:r>
      <w:r>
        <w:rPr>
          <w:rFonts w:ascii="Times New Roman" w:hAnsi="Times New Roman"/>
          <w:sz w:val="28"/>
        </w:rPr>
        <w:t>выбрать соответствующую профессию</w:t>
      </w:r>
    </w:p>
    <w:p w14:paraId="20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503539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45035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22000000">
      <w:pPr>
        <w:numPr>
          <w:ilvl w:val="0"/>
          <w:numId w:val="6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5. Выбрать профессию и нажать «Продолжить»</w:t>
      </w:r>
    </w:p>
    <w:p w14:paraId="23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78916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37891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25000000">
      <w:pPr>
        <w:numPr>
          <w:ilvl w:val="0"/>
          <w:numId w:val="7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6. Нажать на «Перейти к заявлению».</w:t>
      </w:r>
    </w:p>
    <w:p w14:paraId="26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379714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43797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28000000">
      <w:pPr>
        <w:numPr>
          <w:ilvl w:val="0"/>
          <w:numId w:val="8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7. Проверить № телефона, если неверный номер то нажать на «Редактировать», далее на «Верно»</w:t>
      </w:r>
    </w:p>
    <w:p w14:paraId="29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074914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40749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2B000000">
      <w:pPr>
        <w:numPr>
          <w:ilvl w:val="0"/>
          <w:numId w:val="9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Шаг 8. Сделать действие как в шаге 7. </w:t>
      </w:r>
    </w:p>
    <w:p w14:paraId="2C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132064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41320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numPr>
          <w:ilvl w:val="0"/>
          <w:numId w:val="10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9. Действие как в предыдущем шаге.</w:t>
      </w:r>
    </w:p>
    <w:p w14:paraId="2E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113014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41130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30000000">
      <w:pPr>
        <w:numPr>
          <w:ilvl w:val="0"/>
          <w:numId w:val="11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10. Проверить адрес</w:t>
      </w:r>
    </w:p>
    <w:p w14:paraId="31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227314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940425" cy="42273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numPr>
          <w:ilvl w:val="0"/>
          <w:numId w:val="12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11. Нажать на «Выбрать файл»</w:t>
      </w:r>
    </w:p>
    <w:p w14:paraId="33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122539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40425" cy="41225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35000000">
      <w:pPr>
        <w:numPr>
          <w:ilvl w:val="0"/>
          <w:numId w:val="13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Шаг 12. С заранее сканированных и сохраненных в компьютере документов по очереди выбрать документы и нажать на </w:t>
      </w:r>
      <w:r>
        <w:rPr>
          <w:rFonts w:ascii="Times New Roman" w:hAnsi="Times New Roman"/>
          <w:sz w:val="28"/>
        </w:rPr>
        <w:t>«Открыть»</w:t>
      </w:r>
    </w:p>
    <w:p w14:paraId="36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903464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39034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00000">
      <w:pPr>
        <w:numPr>
          <w:ilvl w:val="0"/>
          <w:numId w:val="14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Шаг 13. После загрузки всех сканированных документов нажать на «Отправить заявление»</w:t>
      </w:r>
    </w:p>
    <w:p w14:paraId="38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141589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940425" cy="41415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3A000000">
      <w:pPr>
        <w:numPr>
          <w:ilvl w:val="0"/>
          <w:numId w:val="15"/>
        </w:num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Появится окошко о том, что заявление отправлено и уведомление придет в личном кабинете</w:t>
      </w:r>
    </w:p>
    <w:p w14:paraId="3B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541514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940425" cy="3541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59866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940425" cy="35986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3F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722489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940425" cy="37224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</w:p>
    <w:p w14:paraId="41000000">
      <w:pPr>
        <w:tabs>
          <w:tab w:leader="none" w:pos="1276" w:val="left"/>
        </w:tabs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Фактическое </w:t>
      </w:r>
      <w:r>
        <w:rPr>
          <w:rFonts w:ascii="Times New Roman" w:hAnsi="Times New Roman"/>
          <w:b w:val="1"/>
          <w:sz w:val="28"/>
        </w:rPr>
        <w:t xml:space="preserve">распределение </w:t>
      </w:r>
      <w:r>
        <w:rPr>
          <w:rFonts w:ascii="Times New Roman" w:hAnsi="Times New Roman"/>
          <w:sz w:val="28"/>
        </w:rPr>
        <w:t xml:space="preserve">путевок осуществляется в хронологическом порядке </w:t>
      </w:r>
      <w:r>
        <w:rPr>
          <w:rFonts w:ascii="Times New Roman" w:hAnsi="Times New Roman"/>
          <w:b w:val="1"/>
          <w:sz w:val="28"/>
        </w:rPr>
        <w:t>исходя от даты и времени поступления заявлений</w:t>
      </w:r>
      <w:r>
        <w:rPr>
          <w:rFonts w:ascii="Times New Roman" w:hAnsi="Times New Roman"/>
          <w:sz w:val="28"/>
        </w:rPr>
        <w:t>.</w:t>
      </w:r>
    </w:p>
    <w:p w14:paraId="4200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3" w:type="paragraph">
    <w:name w:val="toc 2"/>
    <w:next w:val="Style_1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1"/>
    <w:link w:val="Style_4_ch"/>
    <w:uiPriority w:val="39"/>
    <w:pPr>
      <w:ind w:firstLine="0"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2" w:type="paragraph">
    <w:name w:val="Гиперссылка1"/>
    <w:basedOn w:val="Style_7"/>
    <w:link w:val="Style_2_ch"/>
    <w:rPr>
      <w:color w:themeColor="hyperlink" w:val="0563C1"/>
      <w:u w:val="single"/>
    </w:rPr>
  </w:style>
  <w:style w:styleId="Style_2_ch" w:type="character">
    <w:name w:val="Гиперссылка1"/>
    <w:basedOn w:val="Style_7_ch"/>
    <w:link w:val="Style_2"/>
    <w:rPr>
      <w:color w:themeColor="hyperlink" w:val="0563C1"/>
      <w:u w:val="single"/>
    </w:rPr>
  </w:style>
  <w:style w:styleId="Style_8" w:type="paragraph">
    <w:name w:val="Unresolved Mention"/>
    <w:basedOn w:val="Style_7"/>
    <w:link w:val="Style_8_ch"/>
    <w:rPr>
      <w:color w:val="605E5C"/>
      <w:shd w:fill="E1DFDD" w:val="clear"/>
    </w:rPr>
  </w:style>
  <w:style w:styleId="Style_8_ch" w:type="character">
    <w:name w:val="Unresolved Mention"/>
    <w:basedOn w:val="Style_7_ch"/>
    <w:link w:val="Style_8"/>
    <w:rPr>
      <w:color w:val="605E5C"/>
      <w:shd w:fill="E1DFDD" w:val="clear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</w:rPr>
  </w:style>
  <w:style w:styleId="Style_9_ch" w:type="character">
    <w:name w:val="Endnote"/>
    <w:link w:val="Style_9"/>
    <w:rPr>
      <w:rFonts w:ascii="XO Thames" w:hAnsi="XO Thames"/>
    </w:rPr>
  </w:style>
  <w:style w:styleId="Style_10" w:type="paragraph">
    <w:name w:val="heading 3"/>
    <w:next w:val="Style_1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7" w:type="paragraph">
    <w:name w:val="Основной шрифт абзаца1"/>
    <w:link w:val="Style_7_ch"/>
  </w:style>
  <w:style w:styleId="Style_7_ch" w:type="character">
    <w:name w:val="Основной шрифт абзаца1"/>
    <w:link w:val="Style_7"/>
  </w:style>
  <w:style w:styleId="Style_11" w:type="paragraph">
    <w:name w:val="toc 3"/>
    <w:next w:val="Style_1"/>
    <w:link w:val="Style_11_ch"/>
    <w:uiPriority w:val="39"/>
    <w:pPr>
      <w:ind w:firstLine="0" w:left="400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List Paragraph"/>
    <w:basedOn w:val="Style_1"/>
    <w:link w:val="Style_12_ch"/>
    <w:pPr>
      <w:ind w:firstLine="0" w:left="720"/>
      <w:contextualSpacing w:val="1"/>
    </w:pPr>
  </w:style>
  <w:style w:styleId="Style_12_ch" w:type="character">
    <w:name w:val="List Paragraph"/>
    <w:basedOn w:val="Style_1_ch"/>
    <w:link w:val="Style_12"/>
  </w:style>
  <w:style w:styleId="Style_13" w:type="paragraph">
    <w:name w:val="heading 5"/>
    <w:next w:val="Style_1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3_ch" w:type="character">
    <w:name w:val="heading 5"/>
    <w:link w:val="Style_13"/>
    <w:rPr>
      <w:rFonts w:ascii="XO Thames" w:hAnsi="XO Thames"/>
      <w:b w:val="1"/>
    </w:rPr>
  </w:style>
  <w:style w:styleId="Style_14" w:type="paragraph">
    <w:name w:val="Обычный1"/>
    <w:link w:val="Style_14_ch"/>
  </w:style>
  <w:style w:styleId="Style_14_ch" w:type="character">
    <w:name w:val="Обычный1"/>
    <w:link w:val="Style_14"/>
  </w:style>
  <w:style w:styleId="Style_15" w:type="paragraph">
    <w:name w:val="heading 1"/>
    <w:next w:val="Style_1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</w:rPr>
  </w:style>
  <w:style w:styleId="Style_17_ch" w:type="character">
    <w:name w:val="Footnote"/>
    <w:link w:val="Style_17"/>
    <w:rPr>
      <w:rFonts w:ascii="XO Thames" w:hAnsi="XO Thames"/>
    </w:rPr>
  </w:style>
  <w:style w:styleId="Style_18" w:type="paragraph">
    <w:name w:val="toc 1"/>
    <w:next w:val="Style_1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toc 9"/>
    <w:next w:val="Style_1"/>
    <w:link w:val="Style_20_ch"/>
    <w:uiPriority w:val="39"/>
    <w:pPr>
      <w:ind w:firstLine="0" w:left="1600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Просмотренная гиперссылка1"/>
    <w:basedOn w:val="Style_7"/>
    <w:link w:val="Style_21_ch"/>
    <w:rPr>
      <w:color w:themeColor="followedHyperlink" w:val="954F72"/>
      <w:u w:val="single"/>
    </w:rPr>
  </w:style>
  <w:style w:styleId="Style_21_ch" w:type="character">
    <w:name w:val="Просмотренная гиперссылка1"/>
    <w:basedOn w:val="Style_7_ch"/>
    <w:link w:val="Style_21"/>
    <w:rPr>
      <w:color w:themeColor="followedHyperlink" w:val="954F72"/>
      <w:u w:val="single"/>
    </w:rPr>
  </w:style>
  <w:style w:styleId="Style_22" w:type="paragraph">
    <w:name w:val="toc 8"/>
    <w:next w:val="Style_1"/>
    <w:link w:val="Style_22_ch"/>
    <w:uiPriority w:val="39"/>
    <w:pPr>
      <w:ind w:firstLine="0" w:left="1400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toc 5"/>
    <w:next w:val="Style_1"/>
    <w:link w:val="Style_24_ch"/>
    <w:uiPriority w:val="39"/>
    <w:pPr>
      <w:ind w:firstLine="0" w:left="800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1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1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1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1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29" w:type="paragraph">
    <w:name w:val="ConsPlusNormal"/>
    <w:link w:val="Style_29_ch"/>
    <w:pPr>
      <w:widowControl w:val="0"/>
      <w:spacing w:after="0" w:line="240" w:lineRule="auto"/>
      <w:ind/>
    </w:pPr>
    <w:rPr>
      <w:rFonts w:ascii="Calibri" w:hAnsi="Calibri"/>
    </w:rPr>
  </w:style>
  <w:style w:styleId="Style_29_ch" w:type="character">
    <w:name w:val="ConsPlusNormal"/>
    <w:link w:val="Style_29"/>
    <w:rPr>
      <w:rFonts w:ascii="Calibri" w:hAnsi="Calibri"/>
    </w:rPr>
  </w:style>
  <w:style w:styleId="Style_30" w:type="table">
    <w:name w:val="Table Grid"/>
    <w:basedOn w:val="Style_31"/>
    <w:pPr>
      <w:widowControl w:val="0"/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fontTable.xml" Type="http://schemas.openxmlformats.org/officeDocument/2006/relationships/fontTabl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4" Target="media/14.png" Type="http://schemas.openxmlformats.org/officeDocument/2006/relationships/image"/>
  <Relationship Id="rId13" Target="media/13.png" Type="http://schemas.openxmlformats.org/officeDocument/2006/relationships/image"/>
  <Relationship Id="rId22" Target="theme/theme1.xml" Type="http://schemas.openxmlformats.org/officeDocument/2006/relationships/theme"/>
  <Relationship Id="rId18" Target="settings.xml" Type="http://schemas.openxmlformats.org/officeDocument/2006/relationships/setting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12" Target="media/12.png" Type="http://schemas.openxmlformats.org/officeDocument/2006/relationships/image"/>
  <Relationship Id="rId10" Target="media/10.png" Type="http://schemas.openxmlformats.org/officeDocument/2006/relationships/image"/>
  <Relationship Id="rId19" Target="styles.xml" Type="http://schemas.openxmlformats.org/officeDocument/2006/relationships/styles"/>
  <Relationship Id="rId5" Target="media/5.png" Type="http://schemas.openxmlformats.org/officeDocument/2006/relationships/image"/>
  <Relationship Id="rId11" Target="media/11.png" Type="http://schemas.openxmlformats.org/officeDocument/2006/relationships/image"/>
  <Relationship Id="rId8" Target="media/8.png" Type="http://schemas.openxmlformats.org/officeDocument/2006/relationships/image"/>
  <Relationship Id="rId16" Target="media/16.png" Type="http://schemas.openxmlformats.org/officeDocument/2006/relationships/image"/>
  <Relationship Id="rId20" Target="stylesWithEffects.xml" Type="http://schemas.microsoft.com/office/2007/relationships/stylesWithEffects"/>
  <Relationship Id="rId2" Target="media/2.png" Type="http://schemas.openxmlformats.org/officeDocument/2006/relationships/image"/>
  <Relationship Id="rId21" Target="webSettings.xml" Type="http://schemas.openxmlformats.org/officeDocument/2006/relationships/webSettings"/>
  <Relationship Id="rId9" Target="media/9.png" Type="http://schemas.openxmlformats.org/officeDocument/2006/relationships/image"/>
  <Relationship Id="rId15" Target="media/15.png" Type="http://schemas.openxmlformats.org/officeDocument/2006/relationships/image"/>
  <Relationship Id="rId23" Target="numbering.xml" Type="http://schemas.openxmlformats.org/officeDocument/2006/relationships/numbering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2026-06-04T05:23:05Z</dcterms:modified>
</cp:coreProperties>
</file>