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5" w:type="dxa"/>
        <w:shd w:val="clear" w:color="auto" w:fill="FFFFFF"/>
        <w:tblCellMar>
          <w:top w:w="15" w:type="dxa"/>
          <w:left w:w="15" w:type="dxa"/>
          <w:bottom w:w="15" w:type="dxa"/>
          <w:right w:w="15" w:type="dxa"/>
        </w:tblCellMar>
        <w:tblLook w:val="04A0" w:firstRow="1" w:lastRow="0" w:firstColumn="1" w:lastColumn="0" w:noHBand="0" w:noVBand="1"/>
      </w:tblPr>
      <w:tblGrid>
        <w:gridCol w:w="8085"/>
      </w:tblGrid>
      <w:tr w:rsidR="00460AE8" w:rsidRPr="00460AE8" w:rsidTr="00460AE8">
        <w:tc>
          <w:tcPr>
            <w:tcW w:w="0" w:type="auto"/>
            <w:shd w:val="clear" w:color="auto" w:fill="FFFFFF"/>
            <w:tcMar>
              <w:top w:w="0" w:type="dxa"/>
              <w:left w:w="0" w:type="dxa"/>
              <w:bottom w:w="0" w:type="dxa"/>
              <w:right w:w="0" w:type="dxa"/>
            </w:tcMar>
            <w:hideMark/>
          </w:tcPr>
          <w:tbl>
            <w:tblPr>
              <w:tblW w:w="8085" w:type="dxa"/>
              <w:tblCellMar>
                <w:top w:w="15" w:type="dxa"/>
                <w:left w:w="15" w:type="dxa"/>
                <w:bottom w:w="15" w:type="dxa"/>
                <w:right w:w="15" w:type="dxa"/>
              </w:tblCellMar>
              <w:tblLook w:val="04A0" w:firstRow="1" w:lastRow="0" w:firstColumn="1" w:lastColumn="0" w:noHBand="0" w:noVBand="1"/>
            </w:tblPr>
            <w:tblGrid>
              <w:gridCol w:w="5428"/>
              <w:gridCol w:w="2657"/>
            </w:tblGrid>
            <w:tr w:rsidR="00460AE8" w:rsidRPr="00460AE8">
              <w:trPr>
                <w:trHeight w:val="2205"/>
              </w:trPr>
              <w:tc>
                <w:tcPr>
                  <w:tcW w:w="2100" w:type="dxa"/>
                  <w:tcBorders>
                    <w:bottom w:val="single" w:sz="6" w:space="0" w:color="8F8F8F"/>
                  </w:tcBorders>
                  <w:tcMar>
                    <w:top w:w="75" w:type="dxa"/>
                    <w:left w:w="75" w:type="dxa"/>
                    <w:bottom w:w="75" w:type="dxa"/>
                    <w:right w:w="75" w:type="dxa"/>
                  </w:tcMar>
                  <w:vAlign w:val="bottom"/>
                  <w:hideMark/>
                </w:tcPr>
                <w:p w:rsidR="00460AE8" w:rsidRPr="00460AE8" w:rsidRDefault="00460AE8" w:rsidP="00460A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0" cy="1390650"/>
                        <wp:effectExtent l="0" t="0" r="0" b="0"/>
                        <wp:docPr id="1" name="Рисунок 1" descr="Минюст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юст Ро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tc>
              <w:tc>
                <w:tcPr>
                  <w:tcW w:w="0" w:type="auto"/>
                  <w:tcBorders>
                    <w:bottom w:val="single" w:sz="6" w:space="0" w:color="8F8F8F"/>
                  </w:tcBorders>
                  <w:tcMar>
                    <w:top w:w="75" w:type="dxa"/>
                    <w:left w:w="75" w:type="dxa"/>
                    <w:bottom w:w="75" w:type="dxa"/>
                    <w:right w:w="75" w:type="dxa"/>
                  </w:tcMar>
                  <w:vAlign w:val="bottom"/>
                  <w:hideMark/>
                </w:tcPr>
                <w:p w:rsidR="00460AE8" w:rsidRPr="00460AE8" w:rsidRDefault="00460AE8" w:rsidP="00460AE8">
                  <w:pPr>
                    <w:spacing w:after="0" w:line="240" w:lineRule="auto"/>
                    <w:jc w:val="right"/>
                    <w:rPr>
                      <w:rFonts w:ascii="Times New Roman" w:eastAsia="Times New Roman" w:hAnsi="Times New Roman" w:cs="Times New Roman"/>
                      <w:sz w:val="24"/>
                      <w:szCs w:val="24"/>
                      <w:lang w:eastAsia="ru-RU"/>
                    </w:rPr>
                  </w:pPr>
                  <w:hyperlink r:id="rId7" w:history="1">
                    <w:r w:rsidRPr="00460AE8">
                      <w:rPr>
                        <w:rFonts w:ascii="Times New Roman" w:eastAsia="Times New Roman" w:hAnsi="Times New Roman" w:cs="Times New Roman"/>
                        <w:color w:val="8F8F8F"/>
                        <w:sz w:val="24"/>
                        <w:szCs w:val="24"/>
                        <w:u w:val="single"/>
                        <w:lang w:eastAsia="ru-RU"/>
                      </w:rPr>
                      <w:t>Распечатать</w:t>
                    </w:r>
                  </w:hyperlink>
                </w:p>
              </w:tc>
            </w:tr>
            <w:tr w:rsidR="00460AE8" w:rsidRPr="00460AE8">
              <w:tc>
                <w:tcPr>
                  <w:tcW w:w="0" w:type="auto"/>
                  <w:gridSpan w:val="2"/>
                  <w:tcMar>
                    <w:top w:w="0" w:type="dxa"/>
                    <w:left w:w="0" w:type="dxa"/>
                    <w:bottom w:w="0" w:type="dxa"/>
                    <w:right w:w="0" w:type="dxa"/>
                  </w:tcMar>
                  <w:hideMark/>
                </w:tcPr>
                <w:p w:rsidR="00460AE8" w:rsidRPr="00460AE8" w:rsidRDefault="00460AE8" w:rsidP="00460AE8">
                  <w:pPr>
                    <w:spacing w:before="100" w:beforeAutospacing="1" w:after="100" w:afterAutospacing="1" w:line="288" w:lineRule="atLeast"/>
                    <w:outlineLvl w:val="1"/>
                    <w:rPr>
                      <w:rFonts w:ascii="Times New Roman" w:eastAsia="Times New Roman" w:hAnsi="Times New Roman" w:cs="Times New Roman"/>
                      <w:b/>
                      <w:bCs/>
                      <w:color w:val="444444"/>
                      <w:sz w:val="36"/>
                      <w:szCs w:val="36"/>
                      <w:lang w:eastAsia="ru-RU"/>
                    </w:rPr>
                  </w:pPr>
                  <w:hyperlink r:id="rId8" w:tooltip="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460AE8">
                      <w:rPr>
                        <w:rFonts w:ascii="Times New Roman" w:eastAsia="Times New Roman" w:hAnsi="Times New Roman" w:cs="Times New Roman"/>
                        <w:b/>
                        <w:bCs/>
                        <w:color w:val="323232"/>
                        <w:sz w:val="36"/>
                        <w:szCs w:val="36"/>
                        <w:u w:val="single"/>
                        <w:lang w:eastAsia="ru-RU"/>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w:r w:rsidRPr="00460AE8">
                    <w:rPr>
                      <w:rFonts w:ascii="Times New Roman" w:eastAsia="Times New Roman" w:hAnsi="Times New Roman" w:cs="Times New Roman"/>
                      <w:b/>
                      <w:bCs/>
                      <w:color w:val="444444"/>
                      <w:sz w:val="36"/>
                      <w:szCs w:val="36"/>
                      <w:lang w:eastAsia="ru-RU"/>
                    </w:rPr>
                    <w:t> </w:t>
                  </w:r>
                  <w:r w:rsidRPr="00460AE8">
                    <w:rPr>
                      <w:rFonts w:ascii="Times New Roman" w:eastAsia="Times New Roman" w:hAnsi="Times New Roman" w:cs="Times New Roman"/>
                      <w:b/>
                      <w:bCs/>
                      <w:color w:val="444444"/>
                      <w:sz w:val="15"/>
                      <w:szCs w:val="15"/>
                      <w:lang w:eastAsia="ru-RU"/>
                    </w:rPr>
                    <w:t>[1]</w:t>
                  </w:r>
                </w:p>
                <w:p w:rsidR="00460AE8" w:rsidRPr="00460AE8" w:rsidRDefault="00460AE8" w:rsidP="00460AE8">
                  <w:pPr>
                    <w:numPr>
                      <w:ilvl w:val="0"/>
                      <w:numId w:val="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60AE8" w:rsidRPr="00460AE8" w:rsidRDefault="00460AE8" w:rsidP="00460AE8">
                  <w:pPr>
                    <w:numPr>
                      <w:ilvl w:val="0"/>
                      <w:numId w:val="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образует коррупционного проступка и не влечет применения взысканий: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w:t>
                  </w:r>
                  <w:r w:rsidRPr="00460AE8">
                    <w:rPr>
                      <w:rFonts w:ascii="Times New Roman" w:eastAsia="Times New Roman" w:hAnsi="Times New Roman" w:cs="Times New Roman"/>
                      <w:color w:val="444444"/>
                      <w:sz w:val="24"/>
                      <w:szCs w:val="24"/>
                      <w:lang w:eastAsia="ru-RU"/>
                    </w:rPr>
                    <w:lastRenderedPageBreak/>
                    <w:t>причинам, независящим от служащего.</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указание срочных обязательств финансового характера на сумму менее 500 000 рублей и т.д.;</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60AE8" w:rsidRPr="00460AE8" w:rsidRDefault="00460AE8" w:rsidP="00460AE8">
                  <w:pPr>
                    <w:numPr>
                      <w:ilvl w:val="0"/>
                      <w:numId w:val="2"/>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За нарушение требований законодательства о противодействии </w:t>
                  </w:r>
                  <w:r w:rsidRPr="00460AE8">
                    <w:rPr>
                      <w:rFonts w:ascii="Times New Roman" w:eastAsia="Times New Roman" w:hAnsi="Times New Roman" w:cs="Times New Roman"/>
                      <w:color w:val="444444"/>
                      <w:sz w:val="24"/>
                      <w:szCs w:val="24"/>
                      <w:lang w:eastAsia="ru-RU"/>
                    </w:rPr>
                    <w:lastRenderedPageBreak/>
                    <w:t>коррупции применяются следующие виды взысканий: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замечание;</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выговор;</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строгий выговор (для государственных служащих, замещающих должности военной и правоохранительной службы);</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предупреждение о неполном служебном (должностном) соответствии;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д) увольнение с государственной (муниципальной) службы в связи с утратой доверия.</w:t>
                  </w:r>
                </w:p>
                <w:p w:rsidR="00460AE8" w:rsidRPr="00460AE8" w:rsidRDefault="00460AE8" w:rsidP="00460AE8">
                  <w:pPr>
                    <w:numPr>
                      <w:ilvl w:val="0"/>
                      <w:numId w:val="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 определении конкретного вида взыскания, которое подлежит применению, должны учитываться следующие критерии: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характер и тяжесть совершенного нарушения;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обстоятельства, при которых совершено нарушение;</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соблюдение служащим других запретов, исполнение других обязанностей, установленных в целях противодействия коррупции;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предшествующие результаты исполнения служащим своих должностных обязанностей.</w:t>
                  </w:r>
                </w:p>
                <w:p w:rsidR="00460AE8" w:rsidRPr="00460AE8" w:rsidRDefault="00460AE8" w:rsidP="00460AE8">
                  <w:pPr>
                    <w:numPr>
                      <w:ilvl w:val="0"/>
                      <w:numId w:val="4"/>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д) сокрытия информации о фактах получения доходов от продажи имущества </w:t>
                  </w:r>
                  <w:r w:rsidRPr="00460AE8">
                    <w:rPr>
                      <w:rFonts w:ascii="Times New Roman" w:eastAsia="Times New Roman" w:hAnsi="Times New Roman" w:cs="Times New Roman"/>
                      <w:color w:val="444444"/>
                      <w:sz w:val="24"/>
                      <w:szCs w:val="24"/>
                      <w:lang w:eastAsia="ru-RU"/>
                    </w:rPr>
                    <w:lastRenderedPageBreak/>
                    <w:t>по цене существенно выше рыночной;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60AE8" w:rsidRPr="00460AE8" w:rsidRDefault="00460AE8" w:rsidP="00460AE8">
                  <w:pPr>
                    <w:numPr>
                      <w:ilvl w:val="0"/>
                      <w:numId w:val="5"/>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Примерный перечень ситуаций, которые могут быть расценены как малозначительные проступки, приведен в приложении № 2.</w:t>
                  </w:r>
                </w:p>
                <w:p w:rsidR="00460AE8" w:rsidRPr="00460AE8" w:rsidRDefault="00460AE8" w:rsidP="00460AE8">
                  <w:pPr>
                    <w:numPr>
                      <w:ilvl w:val="0"/>
                      <w:numId w:val="6"/>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60AE8" w:rsidRPr="00460AE8" w:rsidRDefault="00460AE8" w:rsidP="00460AE8">
                  <w:pPr>
                    <w:numPr>
                      <w:ilvl w:val="0"/>
                      <w:numId w:val="6"/>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460AE8" w:rsidRPr="00460AE8" w:rsidRDefault="00460AE8" w:rsidP="00460AE8">
                  <w:pPr>
                    <w:numPr>
                      <w:ilvl w:val="0"/>
                      <w:numId w:val="6"/>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качестве отягчающих обстоятельств могут рассматриваться: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б) одновременное нарушение двух и более требований законодательства о </w:t>
                  </w:r>
                  <w:r w:rsidRPr="00460AE8">
                    <w:rPr>
                      <w:rFonts w:ascii="Times New Roman" w:eastAsia="Times New Roman" w:hAnsi="Times New Roman" w:cs="Times New Roman"/>
                      <w:color w:val="444444"/>
                      <w:sz w:val="24"/>
                      <w:szCs w:val="24"/>
                      <w:lang w:eastAsia="ru-RU"/>
                    </w:rPr>
                    <w:lastRenderedPageBreak/>
                    <w:t>противодействии коррупции;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наличие неснятого дисциплинарного взыскания;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нарушение требований законодательства о противодействии коррупции в рамках предыдущих декларационных кампаний.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11. В качестве смягчающих обстоятельств могут рассматриваться: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совершение служащим нарушения требований законодательства о противодействии коррупции впервые;</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эффективное выполнение особо важных и сложных заданий;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наличие поощрений в отчетном периоде (государственные и ведомственные награды, почетные грамоты, благодарности и т.п.);</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данных.</w:t>
                  </w:r>
                </w:p>
                <w:p w:rsidR="00460AE8" w:rsidRPr="00460AE8" w:rsidRDefault="00460AE8" w:rsidP="00460AE8">
                  <w:pPr>
                    <w:numPr>
                      <w:ilvl w:val="0"/>
                      <w:numId w:val="7"/>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60AE8" w:rsidRPr="00460AE8" w:rsidRDefault="00460AE8" w:rsidP="00460AE8">
                  <w:pPr>
                    <w:numPr>
                      <w:ilvl w:val="0"/>
                      <w:numId w:val="7"/>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60AE8" w:rsidRPr="00460AE8" w:rsidRDefault="00460AE8" w:rsidP="00460AE8">
                  <w:pPr>
                    <w:numPr>
                      <w:ilvl w:val="0"/>
                      <w:numId w:val="7"/>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60AE8" w:rsidRPr="00460AE8" w:rsidRDefault="00460AE8" w:rsidP="00460AE8">
                  <w:pPr>
                    <w:numPr>
                      <w:ilvl w:val="0"/>
                      <w:numId w:val="7"/>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lastRenderedPageBreak/>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Приложение № 1</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к Методическим рекомендациям по</w:t>
                  </w:r>
                  <w:r w:rsidRPr="00460AE8">
                    <w:rPr>
                      <w:rFonts w:ascii="Times New Roman" w:eastAsia="Times New Roman" w:hAnsi="Times New Roman" w:cs="Times New Roman"/>
                      <w:color w:val="444444"/>
                      <w:sz w:val="24"/>
                      <w:szCs w:val="24"/>
                      <w:lang w:eastAsia="ru-RU"/>
                    </w:rPr>
                    <w:br/>
                    <w:t>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center"/>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numPr>
                      <w:ilvl w:val="0"/>
                      <w:numId w:val="8"/>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представлены сведения о своих доходах, расходах, имуществе, обязательствах имущественного характера.</w:t>
                  </w:r>
                </w:p>
                <w:p w:rsidR="00460AE8" w:rsidRPr="00460AE8" w:rsidRDefault="00460AE8" w:rsidP="00460AE8">
                  <w:pPr>
                    <w:numPr>
                      <w:ilvl w:val="0"/>
                      <w:numId w:val="8"/>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60AE8" w:rsidRPr="00460AE8" w:rsidRDefault="00460AE8" w:rsidP="00460AE8">
                  <w:pPr>
                    <w:numPr>
                      <w:ilvl w:val="0"/>
                      <w:numId w:val="8"/>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Служащим указаны недостоверные сведения о доходах (величина ошибки более 20 % от размера общего дохода служащего и членов его семьи в год).</w:t>
                  </w:r>
                </w:p>
                <w:p w:rsidR="00460AE8" w:rsidRPr="00460AE8" w:rsidRDefault="00460AE8" w:rsidP="00460AE8">
                  <w:pPr>
                    <w:numPr>
                      <w:ilvl w:val="0"/>
                      <w:numId w:val="8"/>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б) не указания соответствующих сведений о расходах в разделе 2 Справки, при том, что сведения о появившемся в отчетном периоде имуществе указаны </w:t>
                  </w:r>
                  <w:r w:rsidRPr="00460AE8">
                    <w:rPr>
                      <w:rFonts w:ascii="Times New Roman" w:eastAsia="Times New Roman" w:hAnsi="Times New Roman" w:cs="Times New Roman"/>
                      <w:color w:val="444444"/>
                      <w:sz w:val="24"/>
                      <w:szCs w:val="24"/>
                      <w:lang w:eastAsia="ru-RU"/>
                    </w:rPr>
                    <w:lastRenderedPageBreak/>
                    <w:t>в разделе 3 и (или) в разделе 5 Справки.</w:t>
                  </w:r>
                </w:p>
                <w:p w:rsidR="00460AE8" w:rsidRPr="00460AE8" w:rsidRDefault="00460AE8" w:rsidP="00460AE8">
                  <w:pPr>
                    <w:numPr>
                      <w:ilvl w:val="0"/>
                      <w:numId w:val="9"/>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460AE8" w:rsidRPr="00460AE8" w:rsidRDefault="00460AE8" w:rsidP="00460AE8">
                  <w:pPr>
                    <w:numPr>
                      <w:ilvl w:val="0"/>
                      <w:numId w:val="9"/>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Представлены недостоверные сведения, способствующие сокрытию информации о наличии конфликта интересов, в том числе:</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60AE8" w:rsidRPr="00460AE8" w:rsidRDefault="00460AE8" w:rsidP="00460AE8">
                  <w:pPr>
                    <w:numPr>
                      <w:ilvl w:val="0"/>
                      <w:numId w:val="10"/>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Представление недостоверных сведений, способствующих сокрытию информации о нарушении запретов, например:</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а) о получении служащим дохода от предпринимательской деятельности;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xml:space="preserve">в) 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460AE8">
                    <w:rPr>
                      <w:rFonts w:ascii="Times New Roman" w:eastAsia="Times New Roman" w:hAnsi="Times New Roman" w:cs="Times New Roman"/>
                      <w:color w:val="444444"/>
                      <w:sz w:val="24"/>
                      <w:szCs w:val="24"/>
                      <w:lang w:eastAsia="ru-RU"/>
                    </w:rPr>
                    <w:lastRenderedPageBreak/>
                    <w:t>владеть и (или) пользоваться иностранными финансовыми инструментами»: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 владении (пользовании) иностранными финансовыми инструментами;</w:t>
                  </w:r>
                </w:p>
                <w:p w:rsidR="00460AE8" w:rsidRPr="00460AE8" w:rsidRDefault="00460AE8" w:rsidP="00460AE8">
                  <w:p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 наличии счета (счетов) в иностранном(ых) банке(банках).</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Сокрытие сведений о находящемся в собственности недвижимом имуществе, расположенном за пределами Российской Федерации.</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60AE8" w:rsidRPr="00460AE8" w:rsidRDefault="00460AE8" w:rsidP="00460AE8">
                  <w:pPr>
                    <w:numPr>
                      <w:ilvl w:val="0"/>
                      <w:numId w:val="11"/>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Приложение № 2</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к Методическим рекомендациям по</w:t>
                  </w:r>
                  <w:r w:rsidRPr="00460AE8">
                    <w:rPr>
                      <w:rFonts w:ascii="Times New Roman" w:eastAsia="Times New Roman" w:hAnsi="Times New Roman" w:cs="Times New Roman"/>
                      <w:color w:val="444444"/>
                      <w:sz w:val="24"/>
                      <w:szCs w:val="24"/>
                      <w:lang w:eastAsia="ru-RU"/>
                    </w:rPr>
                    <w:br/>
                    <w:t>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Примерный перечень ситуаций, которые могут быть расценены как малозначительные проступки</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lastRenderedPageBreak/>
                    <w:t> </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460AE8" w:rsidRPr="00460AE8" w:rsidRDefault="00460AE8" w:rsidP="00460AE8">
                  <w:pPr>
                    <w:numPr>
                      <w:ilvl w:val="0"/>
                      <w:numId w:val="12"/>
                    </w:num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Приложение № 3</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righ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к Методическим рекомендациям по</w:t>
                  </w:r>
                  <w:r w:rsidRPr="00460AE8">
                    <w:rPr>
                      <w:rFonts w:ascii="Times New Roman" w:eastAsia="Times New Roman" w:hAnsi="Times New Roman" w:cs="Times New Roman"/>
                      <w:color w:val="444444"/>
                      <w:sz w:val="24"/>
                      <w:szCs w:val="24"/>
                      <w:lang w:eastAsia="ru-RU"/>
                    </w:rPr>
                    <w:br/>
                    <w:t>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 </w:t>
                  </w:r>
                </w:p>
                <w:p w:rsidR="00460AE8" w:rsidRPr="00460AE8" w:rsidRDefault="00460AE8" w:rsidP="00460AE8">
                  <w:pPr>
                    <w:spacing w:before="100" w:beforeAutospacing="1" w:after="100" w:afterAutospacing="1" w:line="288" w:lineRule="atLeast"/>
                    <w:jc w:val="center"/>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Примерный перечень ситуаций, которые могут быть расценены как несущественные проступки</w:t>
                  </w:r>
                </w:p>
                <w:p w:rsidR="00460AE8" w:rsidRPr="00460AE8" w:rsidRDefault="00460AE8" w:rsidP="00460AE8">
                  <w:pPr>
                    <w:spacing w:before="100" w:beforeAutospacing="1" w:after="100" w:afterAutospacing="1" w:line="288" w:lineRule="atLeast"/>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lastRenderedPageBreak/>
                    <w:t> </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Объект недвижимого имущества, находящийся в пользовании по договору социального найма, указан в разделе «Недвижимое имущество».</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Ошибки в наименовании вида транспортного средства и в наименовании места его регистрации (за исключением субъекта Российской Федерации).</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60AE8" w:rsidRPr="00460AE8" w:rsidRDefault="00460AE8" w:rsidP="00460AE8">
                  <w:pPr>
                    <w:numPr>
                      <w:ilvl w:val="0"/>
                      <w:numId w:val="13"/>
                    </w:numPr>
                    <w:spacing w:before="100" w:beforeAutospacing="1" w:after="100" w:afterAutospacing="1" w:line="288" w:lineRule="atLeast"/>
                    <w:jc w:val="both"/>
                    <w:rPr>
                      <w:rFonts w:ascii="Times New Roman" w:eastAsia="Times New Roman" w:hAnsi="Times New Roman" w:cs="Times New Roman"/>
                      <w:color w:val="444444"/>
                      <w:sz w:val="24"/>
                      <w:szCs w:val="24"/>
                      <w:lang w:eastAsia="ru-RU"/>
                    </w:rPr>
                  </w:pPr>
                  <w:r w:rsidRPr="00460AE8">
                    <w:rPr>
                      <w:rFonts w:ascii="Times New Roman" w:eastAsia="Times New Roman" w:hAnsi="Times New Roman" w:cs="Times New Roman"/>
                      <w:color w:val="444444"/>
                      <w:sz w:val="24"/>
                      <w:szCs w:val="24"/>
                      <w:lang w:eastAsia="ru-RU"/>
                    </w:rPr>
                    <w:lastRenderedPageBreak/>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tc>
            </w:tr>
          </w:tbl>
          <w:p w:rsidR="00460AE8" w:rsidRPr="00460AE8" w:rsidRDefault="00460AE8" w:rsidP="00460AE8">
            <w:pPr>
              <w:spacing w:after="0" w:line="198" w:lineRule="atLeast"/>
              <w:rPr>
                <w:rFonts w:ascii="Arial" w:eastAsia="Times New Roman" w:hAnsi="Arial" w:cs="Arial"/>
                <w:color w:val="000000"/>
                <w:sz w:val="17"/>
                <w:szCs w:val="17"/>
                <w:lang w:eastAsia="ru-RU"/>
              </w:rPr>
            </w:pPr>
          </w:p>
        </w:tc>
      </w:tr>
      <w:tr w:rsidR="00460AE8" w:rsidRPr="00460AE8" w:rsidTr="00460AE8">
        <w:tc>
          <w:tcPr>
            <w:tcW w:w="0" w:type="auto"/>
            <w:shd w:val="clear" w:color="auto" w:fill="FFFFFF"/>
            <w:tcMar>
              <w:top w:w="300" w:type="dxa"/>
              <w:left w:w="0" w:type="dxa"/>
              <w:bottom w:w="405" w:type="dxa"/>
              <w:right w:w="0" w:type="dxa"/>
            </w:tcMar>
            <w:vAlign w:val="bottom"/>
            <w:hideMark/>
          </w:tcPr>
          <w:p w:rsidR="00460AE8" w:rsidRPr="00460AE8" w:rsidRDefault="00460AE8" w:rsidP="00460AE8">
            <w:pPr>
              <w:spacing w:after="0" w:line="240" w:lineRule="atLeast"/>
              <w:rPr>
                <w:rFonts w:ascii="Arial" w:eastAsia="Times New Roman" w:hAnsi="Arial" w:cs="Arial"/>
                <w:color w:val="000000"/>
                <w:sz w:val="15"/>
                <w:szCs w:val="15"/>
                <w:lang w:eastAsia="ru-RU"/>
              </w:rPr>
            </w:pPr>
            <w:r w:rsidRPr="00460AE8">
              <w:rPr>
                <w:rFonts w:ascii="Arial" w:eastAsia="Times New Roman" w:hAnsi="Arial" w:cs="Arial"/>
                <w:color w:val="000000"/>
                <w:sz w:val="15"/>
                <w:szCs w:val="15"/>
                <w:lang w:eastAsia="ru-RU"/>
              </w:rPr>
              <w:lastRenderedPageBreak/>
              <w:t>© 2003-2015 Министерство юстиции Российской Федерации</w:t>
            </w:r>
            <w:r w:rsidRPr="00460AE8">
              <w:rPr>
                <w:rFonts w:ascii="Arial" w:eastAsia="Times New Roman" w:hAnsi="Arial" w:cs="Arial"/>
                <w:color w:val="000000"/>
                <w:sz w:val="15"/>
                <w:szCs w:val="15"/>
                <w:lang w:eastAsia="ru-RU"/>
              </w:rPr>
              <w:br/>
              <w:t>Все права защищены</w:t>
            </w:r>
          </w:p>
        </w:tc>
      </w:tr>
    </w:tbl>
    <w:p w:rsidR="007332B1" w:rsidRDefault="007332B1">
      <w:bookmarkStart w:id="0" w:name="_GoBack"/>
      <w:bookmarkEnd w:id="0"/>
    </w:p>
    <w:sectPr w:rsidR="0073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867"/>
    <w:multiLevelType w:val="multilevel"/>
    <w:tmpl w:val="ACB8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B2772"/>
    <w:multiLevelType w:val="multilevel"/>
    <w:tmpl w:val="E1AC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05804"/>
    <w:multiLevelType w:val="multilevel"/>
    <w:tmpl w:val="D540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16242"/>
    <w:multiLevelType w:val="multilevel"/>
    <w:tmpl w:val="8FB2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426C0"/>
    <w:multiLevelType w:val="multilevel"/>
    <w:tmpl w:val="9BE0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E10C6"/>
    <w:multiLevelType w:val="multilevel"/>
    <w:tmpl w:val="826A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872037"/>
    <w:multiLevelType w:val="multilevel"/>
    <w:tmpl w:val="117C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25E63"/>
    <w:multiLevelType w:val="multilevel"/>
    <w:tmpl w:val="B0A0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B5F8E"/>
    <w:multiLevelType w:val="multilevel"/>
    <w:tmpl w:val="08EE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B974B8"/>
    <w:multiLevelType w:val="multilevel"/>
    <w:tmpl w:val="EF78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3960CF"/>
    <w:multiLevelType w:val="multilevel"/>
    <w:tmpl w:val="4270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A7950"/>
    <w:multiLevelType w:val="multilevel"/>
    <w:tmpl w:val="645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AC2402"/>
    <w:multiLevelType w:val="multilevel"/>
    <w:tmpl w:val="188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8"/>
  </w:num>
  <w:num w:numId="5">
    <w:abstractNumId w:val="7"/>
  </w:num>
  <w:num w:numId="6">
    <w:abstractNumId w:val="6"/>
  </w:num>
  <w:num w:numId="7">
    <w:abstractNumId w:val="9"/>
  </w:num>
  <w:num w:numId="8">
    <w:abstractNumId w:val="0"/>
  </w:num>
  <w:num w:numId="9">
    <w:abstractNumId w:val="4"/>
  </w:num>
  <w:num w:numId="10">
    <w:abstractNumId w:val="1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E8"/>
    <w:rsid w:val="00460AE8"/>
    <w:rsid w:val="00733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0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A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0AE8"/>
    <w:rPr>
      <w:color w:val="0000FF"/>
      <w:u w:val="single"/>
    </w:rPr>
  </w:style>
  <w:style w:type="character" w:customStyle="1" w:styleId="apple-converted-space">
    <w:name w:val="apple-converted-space"/>
    <w:basedOn w:val="a0"/>
    <w:rsid w:val="00460AE8"/>
  </w:style>
  <w:style w:type="character" w:customStyle="1" w:styleId="print-footnote">
    <w:name w:val="print-footnote"/>
    <w:basedOn w:val="a0"/>
    <w:rsid w:val="00460AE8"/>
  </w:style>
  <w:style w:type="paragraph" w:customStyle="1" w:styleId="style16">
    <w:name w:val="style16"/>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0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A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0AE8"/>
    <w:rPr>
      <w:color w:val="0000FF"/>
      <w:u w:val="single"/>
    </w:rPr>
  </w:style>
  <w:style w:type="character" w:customStyle="1" w:styleId="apple-converted-space">
    <w:name w:val="apple-converted-space"/>
    <w:basedOn w:val="a0"/>
    <w:rsid w:val="00460AE8"/>
  </w:style>
  <w:style w:type="character" w:customStyle="1" w:styleId="print-footnote">
    <w:name w:val="print-footnote"/>
    <w:basedOn w:val="a0"/>
    <w:rsid w:val="00460AE8"/>
  </w:style>
  <w:style w:type="paragraph" w:customStyle="1" w:styleId="style16">
    <w:name w:val="style16"/>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60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0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91098">
      <w:bodyDiv w:val="1"/>
      <w:marLeft w:val="0"/>
      <w:marRight w:val="0"/>
      <w:marTop w:val="0"/>
      <w:marBottom w:val="0"/>
      <w:divBdr>
        <w:top w:val="none" w:sz="0" w:space="0" w:color="auto"/>
        <w:left w:val="none" w:sz="0" w:space="0" w:color="auto"/>
        <w:bottom w:val="none" w:sz="0" w:space="0" w:color="auto"/>
        <w:right w:val="none" w:sz="0" w:space="0" w:color="auto"/>
      </w:divBdr>
      <w:divsChild>
        <w:div w:id="1765153205">
          <w:marLeft w:val="0"/>
          <w:marRight w:val="0"/>
          <w:marTop w:val="0"/>
          <w:marBottom w:val="0"/>
          <w:divBdr>
            <w:top w:val="none" w:sz="0" w:space="0" w:color="auto"/>
            <w:left w:val="none" w:sz="0" w:space="0" w:color="auto"/>
            <w:bottom w:val="none" w:sz="0" w:space="0" w:color="auto"/>
            <w:right w:val="none" w:sz="0" w:space="0" w:color="auto"/>
          </w:divBdr>
        </w:div>
        <w:div w:id="910625269">
          <w:marLeft w:val="0"/>
          <w:marRight w:val="0"/>
          <w:marTop w:val="0"/>
          <w:marBottom w:val="0"/>
          <w:divBdr>
            <w:top w:val="none" w:sz="0" w:space="0" w:color="auto"/>
            <w:left w:val="none" w:sz="0" w:space="0" w:color="auto"/>
            <w:bottom w:val="none" w:sz="0" w:space="0" w:color="auto"/>
            <w:right w:val="none" w:sz="0" w:space="0" w:color="auto"/>
          </w:divBdr>
          <w:divsChild>
            <w:div w:id="535433165">
              <w:marLeft w:val="0"/>
              <w:marRight w:val="0"/>
              <w:marTop w:val="0"/>
              <w:marBottom w:val="0"/>
              <w:divBdr>
                <w:top w:val="none" w:sz="0" w:space="0" w:color="auto"/>
                <w:left w:val="none" w:sz="0" w:space="0" w:color="auto"/>
                <w:bottom w:val="none" w:sz="0" w:space="0" w:color="auto"/>
                <w:right w:val="none" w:sz="0" w:space="0" w:color="auto"/>
              </w:divBdr>
              <w:divsChild>
                <w:div w:id="559941606">
                  <w:marLeft w:val="0"/>
                  <w:marRight w:val="0"/>
                  <w:marTop w:val="0"/>
                  <w:marBottom w:val="0"/>
                  <w:divBdr>
                    <w:top w:val="none" w:sz="0" w:space="0" w:color="auto"/>
                    <w:left w:val="none" w:sz="0" w:space="0" w:color="auto"/>
                    <w:bottom w:val="none" w:sz="0" w:space="0" w:color="auto"/>
                    <w:right w:val="none" w:sz="0" w:space="0" w:color="auto"/>
                  </w:divBdr>
                  <w:divsChild>
                    <w:div w:id="1583952667">
                      <w:marLeft w:val="0"/>
                      <w:marRight w:val="0"/>
                      <w:marTop w:val="0"/>
                      <w:marBottom w:val="0"/>
                      <w:divBdr>
                        <w:top w:val="none" w:sz="0" w:space="0" w:color="auto"/>
                        <w:left w:val="none" w:sz="0" w:space="0" w:color="auto"/>
                        <w:bottom w:val="none" w:sz="0" w:space="0" w:color="auto"/>
                        <w:right w:val="none" w:sz="0" w:space="0" w:color="auto"/>
                      </w:divBdr>
                      <w:divsChild>
                        <w:div w:id="1952275815">
                          <w:marLeft w:val="0"/>
                          <w:marRight w:val="0"/>
                          <w:marTop w:val="0"/>
                          <w:marBottom w:val="0"/>
                          <w:divBdr>
                            <w:top w:val="none" w:sz="0" w:space="0" w:color="auto"/>
                            <w:left w:val="none" w:sz="0" w:space="0" w:color="auto"/>
                            <w:bottom w:val="none" w:sz="0" w:space="0" w:color="auto"/>
                            <w:right w:val="none" w:sz="0" w:space="0" w:color="auto"/>
                          </w:divBdr>
                          <w:divsChild>
                            <w:div w:id="18292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ru/node/226846" TargetMode="External"/><Relationship Id="rId3" Type="http://schemas.microsoft.com/office/2007/relationships/stylesWithEffects" Target="stylesWithEffects.xml"/><Relationship Id="rId7" Type="http://schemas.openxmlformats.org/officeDocument/2006/relationships/hyperlink" Target="http://minjust.ru/ru/node/226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2015-12-17T09:07:00Z</dcterms:created>
  <dcterms:modified xsi:type="dcterms:W3CDTF">2015-12-17T09:07:00Z</dcterms:modified>
</cp:coreProperties>
</file>