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Что такое коррупция, е</w:t>
      </w:r>
      <w:r w:rsidR="00520969"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 формы и виды?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Коррупция представляет собой весьма сложное социально-юридическое явление. Определение термина коррупция указанно в федеральном законе и имеет весьма сложную структуру.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Выражаясь простым языком можно определить </w:t>
      </w:r>
      <w:r w:rsidRPr="0084169B">
        <w:rPr>
          <w:rStyle w:val="a5"/>
          <w:rFonts w:asciiTheme="minorHAnsi" w:hAnsiTheme="minorHAnsi" w:cstheme="minorHAnsi"/>
          <w:b w:val="0"/>
          <w:color w:val="002060"/>
          <w:sz w:val="20"/>
          <w:szCs w:val="20"/>
          <w:shd w:val="clear" w:color="auto" w:fill="FFFFFF"/>
          <w:lang w:val="ru-RU"/>
        </w:rPr>
        <w:t>коррупцию, как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процесс или акт, при котором должностное лицо, надел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нное определ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нной властью, использует ее для личного обогащения или обогащения третьих лиц.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</w:rPr>
        <w:t> 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Именно корысть позволяет ограничить коррупцию от иных должностных правонарушений.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Так, не относятся к коррупции допускаемые должностными лицами карьеризм, желание скрыть свою некомпетентность или не быть привлеч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нным к ответственности, ложно понятые интересы службы и т.д.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Часть форм коррупции приведены в самом определении в федеральном законе. К ним относятся, например, взяточничество, 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злоупотребление служебным положением (конечно же с корыстным мотивом), коммерческий подкуп. Это уголовно-наказуемые деяния.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Кроме того, существует огромный блок запретов, ограничений и обязанностей, направленных на противодействие коррупции. К таковым относятся: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обязанности по предоставлению сведений о доходах, расходах и об имуществе;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обязанности по урегулированию конфликта интереса;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запрет заниматься определ</w:t>
      </w:r>
      <w:r w:rsidR="00520969"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 xml:space="preserve">нными видами деятельности, например, предпринимательской и т.д. </w:t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1E3474" w:rsidRPr="0084169B" w:rsidRDefault="001E3474" w:rsidP="00520969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>
            <wp:extent cx="2871723" cy="1188485"/>
            <wp:effectExtent l="0" t="0" r="0" b="0"/>
            <wp:docPr id="4" name="Рисунок 4" descr="ÐÐ°ÑÑÐ¸Ð½ÐºÐ¸ Ð¿Ð¾ Ð·Ð°Ð¿ÑÐ¾ÑÑ Ð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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89" cy="11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Могут ли государственные и муниципальные служащие заниматься иной работой? Не нарушает ли это запрет?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Для лиц, замещающих государственные должности, будь то министры, депутаты Ил Тумэн на постоянной основе и т.д. стоит запрет 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заниматься другой оплачиваемой деятельностью, кроме творческой, преподавательской или научной. При этом преподавательская, научная и иная творческая деятельность не может финансироваться исключительно за сч</w:t>
      </w:r>
      <w:r w:rsidR="00520969"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т средств иностранных государств, граждан и организаций, если иное не предусмотрено законодательством Российской Федерации.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Для государственной и муниципальной службы такого ограничения и запрета нет. Есть лишь обязанность по уведомлению работодателя. Обращаю внимание - уведомлению, а не получению разрешения. И, конечно же, обязанность по недопущению конфликта интересов.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 xml:space="preserve">Но коммерцией служащим заниматься нельзя. Государство запрещает служащим 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за исключением случаев, когда это прямо предусмотрено законодательством Российской Федерации. </w:t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>
            <wp:extent cx="1538654" cy="1133475"/>
            <wp:effectExtent l="0" t="0" r="0" b="0"/>
            <wp:docPr id="6" name="Рисунок 6" descr="ÐÐ°ÑÑÐ¸Ð½ÐºÐ¸ Ð¿Ð¾ Ð·Ð°Ð¿ÑÐ¾ÑÑ ÐÐ¾ÑÑÑÐ¿ÑÐ¸Ñ Ð² Ð¾Ð±ÑÐ°Ð·Ð¾Ð²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Ð¾ÑÑÑÐ¿ÑÐ¸Ñ Ð² Ð¾Ð±ÑÐ°Ð·Ð¾Ð²Ð°Ð½Ð¸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82" cy="11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Можно ли привлечь к ответственности за взятку преподавателя школы или ВУЗа? Имеются ли на территории республики такие факты?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Конечно, преподаватели попадают по категорию лиц, которых можно привлечь за получение взяток. В последние годы правоохранительными органами 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республики в основном выявляются факты хищения руководителями учебных и иных социальных учреждений.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Будет ли конфликт интересов, если министр или иное должностное лицо устроит в подведомственную организацию своего родственника?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Конечно, при назначении на руководящую должность в подконтрольной организации возникает ситуация, сопряж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нная с конфликтом. И даже если на указанную должность назначает не сам министр, то уведомить о возможном конфликте своего работодателя он обязан. Пример, в этом году подобные нарушения были выявлены прокуратурой в действиях Министра связи и информационных технологий республики. Данный министр был отстран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 от занимаемой должности, а после покинул свой пост.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При трудоустройстве бывшего служащего необходимо 2 года сообщать о его назначениях по месту последней службы. Распространяется ли это при передвижении его по службе?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При передвижении в рамках одной организации – нет. Но если он в течении 2 лет повторно устраивается в одну и туже организацию, то необходимо направлять два уведомления. Иначе руководитель и организация могут быть привлечены за совершение административного правонарушения, предусмотренного ст. 19.29 КоАП РФ, где штраф для юридических лиц составляет до 500 тысяч рублей.</w:t>
      </w:r>
    </w:p>
    <w:p w:rsidR="001E3474" w:rsidRPr="0084169B" w:rsidRDefault="001E3474" w:rsidP="001E3474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>
            <wp:extent cx="1522094" cy="922482"/>
            <wp:effectExtent l="0" t="0" r="0" b="0"/>
            <wp:docPr id="5" name="Рисунок 5" descr="ÐÐ°ÑÑÐ¸Ð½ÐºÐ¸ Ð¿Ð¾ Ð·Ð°Ð¿ÑÐ¾ÑÑ Ð£Ð²Ð¾Ð»ÑÐ½ÐµÐ½Ð¸Ðµ Ð·Ð° ÐºÐ¾ÑÑÑÐ¿Ñ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£Ð²Ð¾Ð»ÑÐ½ÐµÐ½Ð¸Ðµ Ð·Ð° ÐºÐ¾ÑÑÑÐ¿ÑÐ¸Ñ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6" cy="9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В обязательном ли порядке лицо, допустившее конфликт интересов, подлежит увольнению?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Несмотря на то, что Федеральный закон предусматривает ответственность в виде увольнения в связи с утратой доверия в отношении лиц допустивших и неурегулировавших конфликт интересов, практика позволяет применять и более мягкие виды дисциплинарной ответственности, такие как замечание, выговор и т.д.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Об этом, кстати, также указано в июльских методических рекомендациях Минтруда, изданных во исполнением Национального плана противодействия коррупции на 2018-2020 годы, утвержд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нного указом Президента Российской Федерации.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i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Итоговое решение о применении  или неприменении взыскания и его вида принимает работодатель. И даже решение комиссии для него носит лишь рекомендательных характер.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Освобождается ли лицо давшее взятку и сообщившее об этом  от ответственности?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Да, в соответствии с примечанием к ст. 29</w:t>
      </w:r>
      <w:r w:rsidR="00035830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1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 УК РФ лица, сообщившие о факте взятки и способствовавшие раскрытию данного преступления, освобождаются от уголовной ответственности.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Это очень действенная мера для лиц, которые осознали последствия совершенного ими преступления и готовы сотрудничать со следствием.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Могу достоверно сказать, что на нашей практике не единичны случаи, когда лица, в силу сложившихся жизненных ситуаций, приходят в правоохранительные органы и сообщают о ранее совершенных преступлениях.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Кроме того, с августа текущего года в законодательство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520969" w:rsidRPr="0084169B" w:rsidRDefault="00520969" w:rsidP="00520969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>
            <wp:extent cx="1779145" cy="1205865"/>
            <wp:effectExtent l="0" t="0" r="0" b="0"/>
            <wp:docPr id="7" name="Рисунок 7" descr="ÐÐ°ÑÑÐ¸Ð½ÐºÐ¸ Ð¿Ð¾ Ð·Ð°Ð¿ÑÐ¾ÑÑ Ð·Ð°ÑÐ¸ÑÐ° ÑÐ²Ð¸Ð´Ðµ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·Ð°ÑÐ¸ÑÐ° ÑÐ²Ð¸Ð´ÐµÑÐµÐ»Ñ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08" cy="12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Механизмы защиты дли лиц, сообщивших о фактах коррупции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Защита лиц, сообщивших о коррупционных правонарушениях и преступлениях, это важная государственная задача.</w:t>
      </w:r>
    </w:p>
    <w:p w:rsidR="001E3474" w:rsidRPr="0084169B" w:rsidRDefault="001E3474" w:rsidP="001E3474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Так, согласно Указу Президента от 02.04.2013 №309 «О мерах по реализации отдельных положений Федерального закона "О противодействии коррупции» года установлен особый порядок применения мер, в том числе дисциплинарного характера, к лицам сообщившим о фактах коррупции.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Согласно данному порядку рассмотрение вопросов их привлечения к ответственности или увольнения осуществляется на заседании комиссии по соблюдению требований к служебному поведению с возможностью участия прокурора.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У нас уже есть практика, когда прокуратура не позволяла уволить лиц сообщивших о фактах коррупции.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Кроме того, для лиц, сообщивших о коррупционных преступлениях, по их заявлению могут рассматриваться вопрос о государственной защите как участника уголовного судопроизводства.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В любом случае при обращении в прокуратуру, мы обдумаем какой комплекс мер и гарантий применить для конкретной ситуации. </w:t>
      </w:r>
    </w:p>
    <w:p w:rsidR="00F1126B" w:rsidRPr="0084169B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002060"/>
          <w:spacing w:val="4"/>
          <w:kern w:val="36"/>
          <w:sz w:val="20"/>
          <w:szCs w:val="20"/>
          <w:lang w:val="ru-RU" w:eastAsia="ru-RU"/>
        </w:rPr>
      </w:pPr>
    </w:p>
    <w:p w:rsidR="00F1126B" w:rsidRPr="0084169B" w:rsidRDefault="00F1126B" w:rsidP="00F1126B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color w:val="002060"/>
          <w:spacing w:val="4"/>
          <w:kern w:val="36"/>
          <w:sz w:val="20"/>
          <w:szCs w:val="20"/>
          <w:lang w:val="ru-RU" w:eastAsia="ru-RU"/>
        </w:rPr>
      </w:pPr>
      <w:r w:rsidRPr="0084169B">
        <w:rPr>
          <w:rFonts w:asciiTheme="minorHAnsi" w:hAnsiTheme="minorHAnsi" w:cstheme="minorHAnsi"/>
          <w:b/>
          <w:color w:val="002060"/>
          <w:spacing w:val="4"/>
          <w:kern w:val="36"/>
          <w:sz w:val="20"/>
          <w:szCs w:val="20"/>
          <w:lang w:val="ru-RU" w:eastAsia="ru-RU"/>
        </w:rPr>
        <w:t>Памятки и буклеты</w:t>
      </w:r>
    </w:p>
    <w:p w:rsidR="00C70701" w:rsidRPr="00C70701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</w:pPr>
      <w:r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 xml:space="preserve">На сайте Генеральной прокуратуры Российской федерации в разделе «Противодействие коррупции», в подразделе «Что нудно знать о коррупции» </w:t>
      </w:r>
      <w:r w:rsidRPr="00C70701">
        <w:rPr>
          <w:rFonts w:asciiTheme="minorHAnsi" w:hAnsiTheme="minorHAnsi" w:cstheme="minorHAnsi"/>
          <w:color w:val="1F497D" w:themeColor="text2"/>
          <w:sz w:val="20"/>
          <w:szCs w:val="20"/>
          <w:lang w:val="ru-RU"/>
        </w:rPr>
        <w:t>(</w:t>
      </w:r>
      <w:r w:rsidR="00C70701" w:rsidRPr="00C70701">
        <w:rPr>
          <w:color w:val="1F497D" w:themeColor="text2"/>
          <w:sz w:val="20"/>
          <w:szCs w:val="20"/>
        </w:rPr>
        <w:t>https</w:t>
      </w:r>
      <w:r w:rsidR="00C70701" w:rsidRPr="00C70701">
        <w:rPr>
          <w:color w:val="1F497D" w:themeColor="text2"/>
          <w:sz w:val="20"/>
          <w:szCs w:val="20"/>
          <w:lang w:val="ru-RU"/>
        </w:rPr>
        <w:t>://</w:t>
      </w:r>
      <w:r w:rsidR="00C70701" w:rsidRPr="00C70701">
        <w:rPr>
          <w:color w:val="1F497D" w:themeColor="text2"/>
          <w:sz w:val="20"/>
          <w:szCs w:val="20"/>
        </w:rPr>
        <w:t>www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genproc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gov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ru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="00C70701" w:rsidRPr="00C70701">
        <w:rPr>
          <w:color w:val="1F497D" w:themeColor="text2"/>
          <w:sz w:val="20"/>
          <w:szCs w:val="20"/>
        </w:rPr>
        <w:t>anticor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="00C70701" w:rsidRPr="00C70701">
        <w:rPr>
          <w:color w:val="1F497D" w:themeColor="text2"/>
          <w:sz w:val="20"/>
          <w:szCs w:val="20"/>
        </w:rPr>
        <w:t>anticor</w:t>
      </w:r>
      <w:r w:rsidR="00C70701" w:rsidRPr="00C70701">
        <w:rPr>
          <w:color w:val="1F497D" w:themeColor="text2"/>
          <w:sz w:val="20"/>
          <w:szCs w:val="20"/>
          <w:lang w:val="ru-RU"/>
        </w:rPr>
        <w:t>-</w:t>
      </w:r>
      <w:r w:rsidR="00C70701" w:rsidRPr="00C70701">
        <w:rPr>
          <w:color w:val="1F497D" w:themeColor="text2"/>
          <w:sz w:val="20"/>
          <w:szCs w:val="20"/>
        </w:rPr>
        <w:t>legal</w:t>
      </w:r>
      <w:r w:rsidR="00C70701" w:rsidRPr="00C70701">
        <w:rPr>
          <w:color w:val="1F497D" w:themeColor="text2"/>
          <w:sz w:val="20"/>
          <w:szCs w:val="20"/>
          <w:lang w:val="ru-RU"/>
        </w:rPr>
        <w:t>-</w:t>
      </w:r>
      <w:r w:rsidR="00C70701" w:rsidRPr="00C70701">
        <w:rPr>
          <w:color w:val="1F497D" w:themeColor="text2"/>
          <w:sz w:val="20"/>
          <w:szCs w:val="20"/>
        </w:rPr>
        <w:t>education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Pr="00C70701">
        <w:rPr>
          <w:rFonts w:asciiTheme="minorHAnsi" w:hAnsiTheme="minorHAnsi" w:cstheme="minorHAnsi"/>
          <w:color w:val="1F497D" w:themeColor="text2"/>
          <w:sz w:val="20"/>
          <w:szCs w:val="20"/>
          <w:lang w:val="ru-RU"/>
        </w:rPr>
        <w:t xml:space="preserve">) </w:t>
      </w:r>
      <w:r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>размещены</w:t>
      </w:r>
      <w:r w:rsidR="00C70701"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>:</w:t>
      </w:r>
    </w:p>
    <w:p w:rsidR="00C70701" w:rsidRPr="00C70701" w:rsidRDefault="00C70701" w:rsidP="00C70701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</w:pP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/>
        </w:rPr>
        <w:t>- к</w:t>
      </w: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  <w:t>омпьютерная программа "Мы против коррупции";</w:t>
      </w:r>
    </w:p>
    <w:p w:rsidR="00F1126B" w:rsidRPr="00C70701" w:rsidRDefault="00C70701" w:rsidP="00C70701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</w:pP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  <w:t xml:space="preserve">- </w:t>
      </w:r>
      <w:r w:rsidR="00F1126B"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/>
        </w:rPr>
        <w:t>памятки и буклеты</w:t>
      </w:r>
      <w:r w:rsidR="00F1126B"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 xml:space="preserve"> для населения, разъясняющие порядок, методы и способы противодействия коррупции: </w:t>
      </w:r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3" w:tgtFrame="_blank" w:tooltip="Памятка. ЖКХ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ЖКХ.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4" w:tgtFrame="_blank" w:tooltip="Памятка. Ритуальные услуги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Ритуальные услуги.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5" w:tgtFrame="_blank" w:tooltip="Памятка. Образование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Образование.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6" w:tgtFrame="_blank" w:tooltip="Памятка. На дорогах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На дорогах.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7" w:tgtFrame="_blank" w:tooltip="Памятка. Здравоохранение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Здравоохранение.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8" w:tgtFrame="_blank" w:tooltip="Буклет. История одного чиновника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История одного чиновника.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9" w:tgtFrame="_blank" w:tooltip="Буклет. Эстафета добрых дел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Эстафета добрых дел.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0" w:tgtFrame="_blank" w:tooltip="Буклет. Коррупция вчера - сегодня - завтра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Коррупция вчера - сегодня - завтра.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1" w:tgtFrame="_blank" w:tooltip="Памятки &quot;Что нужно знать о коррупции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Памятки "Что нужно знать о коррупции"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2" w:tgtFrame="_blank" w:tooltip="Видео-презентация &quot;Противодействие коррупции в России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Видео-презентация "Противодействие коррупции в России"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3" w:tgtFrame="_blank" w:tooltip="Памятка для служащих &quot;Контроль за соответствием расходов государственных и муниципальных служащих их доходам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 для служащих "Контроль за соответствием расходов государственных и муниципальных служащих их доходам"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4" w:tgtFrame="_blank" w:tooltip="Памятка для служащих &quot;Конфликт интересов на государственной и муниципальной службе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bdr w:val="none" w:sz="0" w:space="0" w:color="auto" w:frame="1"/>
            <w:lang w:val="ru-RU" w:eastAsia="ru-RU"/>
          </w:rPr>
          <w:t>Памятка для служащих "Конфликт интересов на государственной и муниципальной службе"</w:t>
        </w:r>
      </w:hyperlink>
    </w:p>
    <w:p w:rsidR="00F1126B" w:rsidRPr="0084169B" w:rsidRDefault="005E67CE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5" w:tgtFrame="_blank" w:tooltip="Памятка для предпринимателей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 для предпринимателей</w:t>
        </w:r>
      </w:hyperlink>
      <w:r w:rsidR="00F1126B" w:rsidRPr="0084169B"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  <w:t>и др.</w:t>
      </w:r>
    </w:p>
    <w:p w:rsidR="00F1126B" w:rsidRPr="0084169B" w:rsidRDefault="00F1126B" w:rsidP="00F1126B">
      <w:pPr>
        <w:rPr>
          <w:color w:val="002060"/>
          <w:lang w:val="ru-RU"/>
        </w:rPr>
      </w:pPr>
    </w:p>
    <w:p w:rsidR="00BC7703" w:rsidRPr="00455422" w:rsidRDefault="00BC7703" w:rsidP="00EF1A2F">
      <w:pPr>
        <w:ind w:firstLine="1985"/>
        <w:rPr>
          <w:rFonts w:asciiTheme="minorHAnsi" w:hAnsiTheme="minorHAnsi" w:cstheme="minorHAnsi"/>
          <w:b/>
          <w:color w:val="0066FF"/>
          <w:sz w:val="23"/>
          <w:szCs w:val="23"/>
          <w:u w:val="single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26"/>
        <w:gridCol w:w="4536"/>
      </w:tblGrid>
      <w:tr w:rsidR="00051041" w:rsidRPr="000D43C6" w:rsidTr="00367783">
        <w:trPr>
          <w:trHeight w:val="1140"/>
        </w:trPr>
        <w:tc>
          <w:tcPr>
            <w:tcW w:w="426" w:type="dxa"/>
          </w:tcPr>
          <w:p w:rsidR="00051041" w:rsidRPr="00F1126B" w:rsidRDefault="00051041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vAlign w:val="bottom"/>
          </w:tcPr>
          <w:p w:rsidR="00051041" w:rsidRDefault="00367783" w:rsidP="00035830">
            <w:pPr>
              <w:ind w:left="1593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0D43C6" w:rsidRDefault="00367783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</w:pPr>
            <w:r w:rsidRPr="00760A9B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 xml:space="preserve">Прокуратура </w:t>
            </w:r>
            <w:r w:rsidR="00B97028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>Республики Саха (Якутия)</w:t>
            </w:r>
          </w:p>
          <w:p w:rsidR="000D43C6" w:rsidRPr="000D43C6" w:rsidRDefault="000D43C6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>Прокуратура города Мирного</w:t>
            </w:r>
          </w:p>
          <w:p w:rsidR="00051041" w:rsidRPr="00760A9B" w:rsidRDefault="00051041" w:rsidP="007E31C9">
            <w:pPr>
              <w:jc w:val="center"/>
              <w:rPr>
                <w:rFonts w:ascii="Arial Narrow" w:hAnsi="Arial Narrow"/>
                <w:b/>
                <w:color w:val="1F497D" w:themeColor="text2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Pr="00760A9B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Default="0005104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454491" w:rsidRDefault="00520969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743199" cy="1371600"/>
                  <wp:effectExtent l="0" t="0" r="0" b="0"/>
                  <wp:docPr id="8" name="Рисунок 8" descr="ÐÐ°ÑÑÐ¸Ð½ÐºÐ¸ Ð¿Ð¾ Ð·Ð°Ð¿ÑÐ¾ÑÑ ÐÐ¾ÑÑÐ±Ð° Ñ ÐºÐ¾ÑÑÑÐ¿ÑÐ¸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Ð¾ÑÑÐ±Ð° Ñ ÐºÐ¾ÑÑÑÐ¿ÑÐ¸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036" cy="13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491" w:rsidRPr="008D7303" w:rsidRDefault="0045449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77950" w:rsidRPr="00760A9B" w:rsidRDefault="00477950" w:rsidP="00454491">
      <w:pPr>
        <w:rPr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477950" w:rsidRPr="00760A9B" w:rsidRDefault="000D43C6" w:rsidP="00035830">
      <w:pPr>
        <w:ind w:left="142"/>
        <w:jc w:val="center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>Мирный</w:t>
      </w:r>
      <w:r w:rsidR="009B5758" w:rsidRPr="00760A9B">
        <w:rPr>
          <w:b/>
          <w:color w:val="1F497D" w:themeColor="text2"/>
          <w:lang w:val="ru-RU"/>
        </w:rPr>
        <w:t xml:space="preserve">, </w:t>
      </w:r>
      <w:r>
        <w:rPr>
          <w:b/>
          <w:color w:val="1F497D" w:themeColor="text2"/>
          <w:lang w:val="ru-RU"/>
        </w:rPr>
        <w:t>2021</w:t>
      </w:r>
      <w:r w:rsidR="00B97028">
        <w:rPr>
          <w:b/>
          <w:color w:val="1F497D" w:themeColor="text2"/>
          <w:lang w:val="ru-RU"/>
        </w:rPr>
        <w:t xml:space="preserve"> год</w:t>
      </w:r>
    </w:p>
    <w:sectPr w:rsidR="00477950" w:rsidRPr="00760A9B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EB" w:rsidRDefault="004615EB">
      <w:r>
        <w:separator/>
      </w:r>
    </w:p>
  </w:endnote>
  <w:endnote w:type="continuationSeparator" w:id="1">
    <w:p w:rsidR="004615EB" w:rsidRDefault="0046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EB" w:rsidRDefault="004615EB">
      <w:r>
        <w:separator/>
      </w:r>
    </w:p>
  </w:footnote>
  <w:footnote w:type="continuationSeparator" w:id="1">
    <w:p w:rsidR="004615EB" w:rsidRDefault="0046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8.75pt" o:bullet="t">
        <v:imagedata r:id="rId1" o:title="advocat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B8"/>
    <w:rsid w:val="00000003"/>
    <w:rsid w:val="00006D87"/>
    <w:rsid w:val="00011EDB"/>
    <w:rsid w:val="00023BC1"/>
    <w:rsid w:val="000244A0"/>
    <w:rsid w:val="0003583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8723F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43C6"/>
    <w:rsid w:val="000D75E6"/>
    <w:rsid w:val="000E1691"/>
    <w:rsid w:val="000E49FE"/>
    <w:rsid w:val="000E7B80"/>
    <w:rsid w:val="000F3106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1150"/>
    <w:rsid w:val="001B6CEF"/>
    <w:rsid w:val="001C0E3A"/>
    <w:rsid w:val="001C6CB1"/>
    <w:rsid w:val="001D33ED"/>
    <w:rsid w:val="001D72A6"/>
    <w:rsid w:val="001E0A56"/>
    <w:rsid w:val="001E18B3"/>
    <w:rsid w:val="001E2070"/>
    <w:rsid w:val="001E3474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10A1"/>
    <w:rsid w:val="00276C68"/>
    <w:rsid w:val="002900B4"/>
    <w:rsid w:val="002922BB"/>
    <w:rsid w:val="00292FD8"/>
    <w:rsid w:val="002A6488"/>
    <w:rsid w:val="002A6668"/>
    <w:rsid w:val="002A7A8F"/>
    <w:rsid w:val="002B7BAD"/>
    <w:rsid w:val="002C2D85"/>
    <w:rsid w:val="002C3642"/>
    <w:rsid w:val="002C5653"/>
    <w:rsid w:val="002E6828"/>
    <w:rsid w:val="002E7C99"/>
    <w:rsid w:val="002F1A64"/>
    <w:rsid w:val="002F1C6B"/>
    <w:rsid w:val="002F4652"/>
    <w:rsid w:val="00301D08"/>
    <w:rsid w:val="00302D84"/>
    <w:rsid w:val="003050EC"/>
    <w:rsid w:val="00307FEC"/>
    <w:rsid w:val="003200E6"/>
    <w:rsid w:val="00320C68"/>
    <w:rsid w:val="0032420C"/>
    <w:rsid w:val="00326A9B"/>
    <w:rsid w:val="00330AEC"/>
    <w:rsid w:val="003318C3"/>
    <w:rsid w:val="0033489E"/>
    <w:rsid w:val="00340B9F"/>
    <w:rsid w:val="00342009"/>
    <w:rsid w:val="00351C8F"/>
    <w:rsid w:val="003540F4"/>
    <w:rsid w:val="00361081"/>
    <w:rsid w:val="00366D4D"/>
    <w:rsid w:val="00367783"/>
    <w:rsid w:val="00384B6F"/>
    <w:rsid w:val="00386F7F"/>
    <w:rsid w:val="00391371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D3246"/>
    <w:rsid w:val="003D383D"/>
    <w:rsid w:val="003D52CE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4491"/>
    <w:rsid w:val="0045480E"/>
    <w:rsid w:val="00455422"/>
    <w:rsid w:val="00455FB3"/>
    <w:rsid w:val="00457843"/>
    <w:rsid w:val="004615EB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D3687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0969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9414A"/>
    <w:rsid w:val="005971B3"/>
    <w:rsid w:val="005A1AE5"/>
    <w:rsid w:val="005A41CB"/>
    <w:rsid w:val="005A6E1F"/>
    <w:rsid w:val="005B05FA"/>
    <w:rsid w:val="005C01CB"/>
    <w:rsid w:val="005C3C36"/>
    <w:rsid w:val="005D2152"/>
    <w:rsid w:val="005D3A1D"/>
    <w:rsid w:val="005E38C1"/>
    <w:rsid w:val="005E5E3A"/>
    <w:rsid w:val="005E67CE"/>
    <w:rsid w:val="005E6EA9"/>
    <w:rsid w:val="005E7EF9"/>
    <w:rsid w:val="005F10AD"/>
    <w:rsid w:val="005F4E60"/>
    <w:rsid w:val="005F707D"/>
    <w:rsid w:val="006053E6"/>
    <w:rsid w:val="006067E7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50447"/>
    <w:rsid w:val="006621C7"/>
    <w:rsid w:val="00672F68"/>
    <w:rsid w:val="00680E00"/>
    <w:rsid w:val="00692AE2"/>
    <w:rsid w:val="006A64D6"/>
    <w:rsid w:val="006B0E04"/>
    <w:rsid w:val="006B529C"/>
    <w:rsid w:val="006B758E"/>
    <w:rsid w:val="006C2546"/>
    <w:rsid w:val="006D3B75"/>
    <w:rsid w:val="006D5EEE"/>
    <w:rsid w:val="006D75FC"/>
    <w:rsid w:val="006E0F57"/>
    <w:rsid w:val="006E3EA2"/>
    <w:rsid w:val="006E5500"/>
    <w:rsid w:val="006E5D23"/>
    <w:rsid w:val="006F4A98"/>
    <w:rsid w:val="00701C00"/>
    <w:rsid w:val="0070481D"/>
    <w:rsid w:val="00706942"/>
    <w:rsid w:val="007112B8"/>
    <w:rsid w:val="007115CA"/>
    <w:rsid w:val="007136FC"/>
    <w:rsid w:val="00714347"/>
    <w:rsid w:val="007207BE"/>
    <w:rsid w:val="00733A52"/>
    <w:rsid w:val="00741B29"/>
    <w:rsid w:val="00750E5C"/>
    <w:rsid w:val="007517A5"/>
    <w:rsid w:val="00760A9B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169B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1F8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D5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7558"/>
    <w:rsid w:val="00B9702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4481"/>
    <w:rsid w:val="00C05317"/>
    <w:rsid w:val="00C10A30"/>
    <w:rsid w:val="00C128B1"/>
    <w:rsid w:val="00C20899"/>
    <w:rsid w:val="00C21BDD"/>
    <w:rsid w:val="00C3070D"/>
    <w:rsid w:val="00C32158"/>
    <w:rsid w:val="00C322D3"/>
    <w:rsid w:val="00C36E10"/>
    <w:rsid w:val="00C402AE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0701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7648"/>
    <w:rsid w:val="00CB4B09"/>
    <w:rsid w:val="00CB67D7"/>
    <w:rsid w:val="00CC3DD9"/>
    <w:rsid w:val="00CC7672"/>
    <w:rsid w:val="00CD20C6"/>
    <w:rsid w:val="00CE063B"/>
    <w:rsid w:val="00CE1F54"/>
    <w:rsid w:val="00CF0C8B"/>
    <w:rsid w:val="00CF1E6D"/>
    <w:rsid w:val="00D056C6"/>
    <w:rsid w:val="00D07C47"/>
    <w:rsid w:val="00D20C8C"/>
    <w:rsid w:val="00D26041"/>
    <w:rsid w:val="00D34AD3"/>
    <w:rsid w:val="00D375CC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4A24"/>
    <w:rsid w:val="00E31A3D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35E9"/>
    <w:rsid w:val="00E937B9"/>
    <w:rsid w:val="00E942FD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26B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B39F9"/>
    <w:rsid w:val="00FB5E73"/>
    <w:rsid w:val="00FB7EE7"/>
    <w:rsid w:val="00FC04B6"/>
    <w:rsid w:val="00FE236A"/>
    <w:rsid w:val="00FE2825"/>
    <w:rsid w:val="00FE5DD4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enproc.gov.ru/anticor/anticor-legal-education/reminders/%D0%9F%D0%B0%D0%BC%D1%8F%D1%82%D0%BA%D0%B0.%20%D0%96%D0%9A%D0%A5.pdf" TargetMode="External"/><Relationship Id="rId18" Type="http://schemas.openxmlformats.org/officeDocument/2006/relationships/hyperlink" Target="https://www.genproc.gov.ru/anticor/anticor-legal-education/reminders/%D0%91%D1%83%D0%BA%D0%BB%D0%B5%D1%82.%20%D0%98%D1%81%D1%82%D0%BE%D1%80%D0%B8%D1%8F%20%D0%BE%D0%B4%D0%BD%D0%BE%D0%B3%D0%BE%20%D1%87%D0%B8%D0%BD%D0%BE%D0%B2%D0%BD%D0%B8%D0%BA%D0%B0.pdf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enproc.gov.ru/anticor/anticor-legal-education/reminders/bookl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www.genproc.gov.ru/anticor/anticor-legal-education/reminders/%D0%9F%D0%B0%D0%BC%D1%8F%D1%82%D0%BA%D0%B0.%20%D0%97%D0%B4%D1%80%D0%B0%D0%B2%D0%BE%D0%BE%D1%85%D1%80%D0%B0%D0%BD%D0%B5%D0%BD%D0%B8%D0%B5.pdf" TargetMode="External"/><Relationship Id="rId25" Type="http://schemas.openxmlformats.org/officeDocument/2006/relationships/hyperlink" Target="https://www.genproc.gov.ru/anticor/anticor-legal-education/reminders/memeo_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proc.gov.ru/anticor/anticor-legal-education/reminders/%D0%9F%D0%B0%D0%BC%D1%8F%D1%82%D0%BA%D0%B0.%20%D0%9D%D0%B0%20%D0%B4%D0%BE%D1%80%D0%BE%D0%B3%D0%B0%D1%85.pdf" TargetMode="External"/><Relationship Id="rId20" Type="http://schemas.openxmlformats.org/officeDocument/2006/relationships/hyperlink" Target="https://www.genproc.gov.ru/anticor/anticor-legal-education/reminders/%D0%91%D1%83%D0%BA%D0%BB%D0%B5%D1%82.%20%D0%9A%D0%BE%D1%80%D1%80%D1%83%D0%BF%D1%86%D0%B8%D1%8F%20%D0%B2%D1%87%D0%B5%D1%80%D0%B0%20-%20%D1%81%D0%B5%D0%B3%D0%BE%D0%B4%D0%BD%D1%8F%20-%20%D0%B7%D0%B0%D0%B2%D1%82%D1%80%D0%B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s://www.genproc.gov.ru/anticor/anticor-legal-education/reminders/memo_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proc.gov.ru/anticor/anticor-legal-education/reminders/%D0%9F%D0%B0%D0%BC%D1%8F%D1%82%D0%BA%D0%B0.%20%D0%9E%D0%B1%D1%80%D0%B0%D0%B7%D0%BE%D0%B2%D0%B0%D0%BD%D0%B8%D0%B5.pdf" TargetMode="External"/><Relationship Id="rId23" Type="http://schemas.openxmlformats.org/officeDocument/2006/relationships/hyperlink" Target="https://www.genproc.gov.ru/anticor/anticor-legal-education/reminders/memo_1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genproc.gov.ru/anticor/anticor-legal-education/reminders/%D0%91%D1%83%D0%BA%D0%BB%D0%B5%D1%82.%20%D0%AD%D1%81%D1%82%D0%B0%D1%84%D0%B5%D1%82%D0%B0%20%D0%B4%D0%BE%D0%B1%D1%80%D1%8B%D1%85%20%D0%B4%D0%B5%D0%B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genproc.gov.ru/anticor/anticor-legal-education/reminders/%D0%9F%D0%B0%D0%BC%D1%8F%D1%82%D0%BA%D0%B0.%20%D0%A0%D0%B8%D1%82%D1%83%D0%B0%D0%BB%D1%8C%D0%BD%D1%8B%D0%B5%20%D1%83%D1%81%D0%BB%D1%83%D0%B3%D0%B8.pdf" TargetMode="External"/><Relationship Id="rId22" Type="http://schemas.openxmlformats.org/officeDocument/2006/relationships/hyperlink" Target="https://www.genproc.gov.ru/anticor/anticor-legal-education/reminders/video/" TargetMode="External"/><Relationship Id="rId27" Type="http://schemas.openxmlformats.org/officeDocument/2006/relationships/image" Target="media/image10.jpeg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F13E-49BC-411B-92B9-6E9FAC3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10698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голдобина</cp:lastModifiedBy>
  <cp:revision>4</cp:revision>
  <cp:lastPrinted>2018-11-28T05:03:00Z</cp:lastPrinted>
  <dcterms:created xsi:type="dcterms:W3CDTF">2021-05-27T11:59:00Z</dcterms:created>
  <dcterms:modified xsi:type="dcterms:W3CDTF">2021-06-21T04:13:00Z</dcterms:modified>
</cp:coreProperties>
</file>