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430AF3" w:rsidP="00D5677D">
      <w:pPr>
        <w:rPr>
          <w:rFonts w:ascii="Arial" w:hAnsi="Arial" w:cs="Arial"/>
        </w:rPr>
      </w:pPr>
      <w:r>
        <w:rPr>
          <w:rFonts w:ascii="Arial" w:hAnsi="Arial" w:cs="Arial"/>
        </w:rPr>
        <w:t>от «23» 04</w:t>
      </w:r>
      <w:r w:rsidR="00D5677D" w:rsidRPr="00097D9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</w:t>
      </w:r>
      <w:r w:rsidR="00D5677D" w:rsidRPr="00097D91">
        <w:rPr>
          <w:rFonts w:ascii="Arial" w:hAnsi="Arial" w:cs="Arial"/>
        </w:rPr>
        <w:t xml:space="preserve"> г.</w:t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 w:rsidRPr="00097D91">
        <w:rPr>
          <w:rFonts w:ascii="Arial" w:hAnsi="Arial" w:cs="Arial"/>
        </w:rPr>
        <w:tab/>
      </w:r>
      <w:r w:rsidR="00D567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№ 460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целевую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</w:p>
    <w:p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</w:p>
    <w:p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413314" w:rsidRPr="00B730CE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целевую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:rsidR="004F52CD" w:rsidRDefault="004F52CD" w:rsidP="00A3473E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</w:t>
      </w:r>
      <w:r w:rsidR="00A3473E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="00A3473E">
        <w:rPr>
          <w:rFonts w:ascii="Arial" w:hAnsi="Arial" w:cs="Arial"/>
        </w:rPr>
        <w:t xml:space="preserve"> строку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6165"/>
      </w:tblGrid>
      <w:tr w:rsidR="004827E2" w:rsidTr="00A3473E">
        <w:tc>
          <w:tcPr>
            <w:tcW w:w="3119" w:type="dxa"/>
          </w:tcPr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344" w:type="dxa"/>
          </w:tcPr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Общий объем расходов местного бюджета на реализацию Программы составляет 45 683 6</w:t>
            </w:r>
            <w:r w:rsidR="00EA1C45">
              <w:rPr>
                <w:rFonts w:ascii="Arial" w:hAnsi="Arial" w:cs="Arial"/>
                <w:sz w:val="20"/>
                <w:szCs w:val="20"/>
              </w:rPr>
              <w:t>24</w:t>
            </w:r>
            <w:r w:rsidRPr="00A3473E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EA1C45">
              <w:rPr>
                <w:rFonts w:ascii="Arial" w:hAnsi="Arial" w:cs="Arial"/>
                <w:sz w:val="20"/>
                <w:szCs w:val="20"/>
              </w:rPr>
              <w:t>я</w:t>
            </w:r>
            <w:r w:rsidRPr="00A3473E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2017 г. – 6 213 635 рублей;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2018 г. – 7 250 56</w:t>
            </w:r>
            <w:r w:rsidR="004827E2">
              <w:rPr>
                <w:rFonts w:ascii="Arial" w:hAnsi="Arial" w:cs="Arial"/>
                <w:sz w:val="20"/>
                <w:szCs w:val="20"/>
              </w:rPr>
              <w:t>9</w:t>
            </w:r>
            <w:r w:rsidRPr="00A3473E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2019 г. – 7 354 16</w:t>
            </w:r>
            <w:r w:rsidR="00EA1C45">
              <w:rPr>
                <w:rFonts w:ascii="Arial" w:hAnsi="Arial" w:cs="Arial"/>
                <w:sz w:val="20"/>
                <w:szCs w:val="20"/>
              </w:rPr>
              <w:t>6</w:t>
            </w:r>
            <w:r w:rsidRPr="00A3473E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2020 г. – 7 802 771 рубль;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2021 г. – 8 278 740 рублей;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2022 г. – 8 783 743 рубля.</w:t>
            </w:r>
          </w:p>
        </w:tc>
      </w:tr>
    </w:tbl>
    <w:p w:rsidR="00A3473E" w:rsidRDefault="00A3473E" w:rsidP="00A3473E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1259" w:right="-1"/>
        <w:jc w:val="both"/>
        <w:rPr>
          <w:rFonts w:ascii="Arial" w:hAnsi="Arial" w:cs="Arial"/>
        </w:rPr>
      </w:pPr>
    </w:p>
    <w:p w:rsidR="00A3473E" w:rsidRDefault="00DE6633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5 «Ресурсное обеспечение программы»</w:t>
      </w:r>
      <w:r w:rsidR="00A36739">
        <w:rPr>
          <w:rFonts w:ascii="Arial" w:hAnsi="Arial" w:cs="Arial"/>
        </w:rPr>
        <w:t xml:space="preserve"> Программы </w:t>
      </w:r>
      <w:r>
        <w:rPr>
          <w:rFonts w:ascii="Arial" w:hAnsi="Arial" w:cs="Arial"/>
        </w:rPr>
        <w:t xml:space="preserve">цифры </w:t>
      </w:r>
      <w:r w:rsidR="00EA1C45">
        <w:rPr>
          <w:rFonts w:ascii="Arial" w:hAnsi="Arial" w:cs="Arial"/>
        </w:rPr>
        <w:t xml:space="preserve">«45 683 625», </w:t>
      </w:r>
      <w:r>
        <w:rPr>
          <w:rFonts w:ascii="Arial" w:hAnsi="Arial" w:cs="Arial"/>
        </w:rPr>
        <w:t>«6 532 850»</w:t>
      </w:r>
      <w:r w:rsidR="00EA1C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="00EA1C45">
        <w:rPr>
          <w:rFonts w:ascii="Arial" w:hAnsi="Arial" w:cs="Arial"/>
        </w:rPr>
        <w:t>6</w:t>
      </w:r>
      <w:r>
        <w:rPr>
          <w:rFonts w:ascii="Arial" w:hAnsi="Arial" w:cs="Arial"/>
        </w:rPr>
        <w:t> 931 354»</w:t>
      </w:r>
      <w:r w:rsidR="00EA1C45">
        <w:rPr>
          <w:rFonts w:ascii="Arial" w:hAnsi="Arial" w:cs="Arial"/>
        </w:rPr>
        <w:t>, «7 354 167»</w:t>
      </w:r>
      <w:r>
        <w:rPr>
          <w:rFonts w:ascii="Arial" w:hAnsi="Arial" w:cs="Arial"/>
        </w:rPr>
        <w:t xml:space="preserve"> заменить цифрами </w:t>
      </w:r>
      <w:r w:rsidR="00EA1C45">
        <w:rPr>
          <w:rFonts w:ascii="Arial" w:hAnsi="Arial" w:cs="Arial"/>
        </w:rPr>
        <w:t xml:space="preserve">«45 683 624», </w:t>
      </w:r>
      <w:r>
        <w:rPr>
          <w:rFonts w:ascii="Arial" w:hAnsi="Arial" w:cs="Arial"/>
        </w:rPr>
        <w:t>«6 213 635»</w:t>
      </w:r>
      <w:r w:rsidR="00EA1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«7 250 56</w:t>
      </w:r>
      <w:r w:rsidR="004827E2">
        <w:rPr>
          <w:rFonts w:ascii="Arial" w:hAnsi="Arial" w:cs="Arial"/>
        </w:rPr>
        <w:t>9</w:t>
      </w:r>
      <w:r>
        <w:rPr>
          <w:rFonts w:ascii="Arial" w:hAnsi="Arial" w:cs="Arial"/>
        </w:rPr>
        <w:t>»</w:t>
      </w:r>
      <w:r w:rsidR="00EA1C45">
        <w:rPr>
          <w:rFonts w:ascii="Arial" w:hAnsi="Arial" w:cs="Arial"/>
        </w:rPr>
        <w:t>, «7 354 166»</w:t>
      </w:r>
      <w:r>
        <w:rPr>
          <w:rFonts w:ascii="Arial" w:hAnsi="Arial" w:cs="Arial"/>
        </w:rPr>
        <w:t xml:space="preserve"> соответственно.</w:t>
      </w:r>
    </w:p>
    <w:p w:rsidR="00B047EF" w:rsidRDefault="00A129C6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«Систему программных мероприятий муниципальной целевой программы МО «Город Мирный» «Управление собственностью 2017-2022 гг.»</w:t>
      </w:r>
      <w:r w:rsidR="00B047EF">
        <w:rPr>
          <w:rFonts w:ascii="Arial" w:hAnsi="Arial" w:cs="Arial"/>
        </w:rPr>
        <w:t xml:space="preserve"> </w:t>
      </w:r>
      <w:r w:rsidR="001B6325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:rsidR="0069699A" w:rsidRDefault="00561901" w:rsidP="00561901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69699A">
        <w:rPr>
          <w:rFonts w:ascii="Arial" w:hAnsi="Arial" w:cs="Arial"/>
        </w:rPr>
        <w:t xml:space="preserve">в подпрограмму </w:t>
      </w:r>
      <w:r>
        <w:rPr>
          <w:rFonts w:ascii="Arial" w:hAnsi="Arial" w:cs="Arial"/>
        </w:rPr>
        <w:t>«Управление земельными ресурсами» (Приложение 3 к Программе) (далее – Подпрограмма), следующие изменения:</w:t>
      </w:r>
    </w:p>
    <w:p w:rsidR="001B6325" w:rsidRDefault="001B6325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</w:t>
      </w:r>
      <w:r w:rsidR="00561901">
        <w:rPr>
          <w:rFonts w:ascii="Arial" w:hAnsi="Arial" w:cs="Arial"/>
        </w:rPr>
        <w:t>П</w:t>
      </w:r>
      <w:r>
        <w:rPr>
          <w:rFonts w:ascii="Arial" w:hAnsi="Arial" w:cs="Arial"/>
        </w:rPr>
        <w:t>одпрограммы «Управление земельными ресурсами» (далее Подпрограмма) строку «</w:t>
      </w:r>
      <w:r w:rsidR="004A7FDA">
        <w:rPr>
          <w:rFonts w:ascii="Arial" w:hAnsi="Arial" w:cs="Arial"/>
        </w:rPr>
        <w:t>Объем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4A7FDA" w:rsidTr="004A7FDA">
        <w:tc>
          <w:tcPr>
            <w:tcW w:w="2977" w:type="dxa"/>
          </w:tcPr>
          <w:p w:rsidR="004A7FDA" w:rsidRPr="004A7FDA" w:rsidRDefault="004A7FDA" w:rsidP="007655F3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4A7FDA">
              <w:rPr>
                <w:rFonts w:ascii="Arial" w:hAnsi="Arial" w:cs="Arial"/>
                <w:sz w:val="20"/>
                <w:szCs w:val="20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:rsidR="004A7FDA" w:rsidRPr="004A7FDA" w:rsidRDefault="004A7FDA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DA">
              <w:rPr>
                <w:rFonts w:ascii="Arial" w:hAnsi="Arial" w:cs="Arial"/>
                <w:sz w:val="20"/>
                <w:szCs w:val="20"/>
              </w:rPr>
              <w:t>Общий объем расходов местного бюджета на реализацию подпрограммы составляет 10 389 74</w:t>
            </w:r>
            <w:r w:rsidR="00EA1C45">
              <w:rPr>
                <w:rFonts w:ascii="Arial" w:hAnsi="Arial" w:cs="Arial"/>
                <w:sz w:val="20"/>
                <w:szCs w:val="20"/>
              </w:rPr>
              <w:t>1</w:t>
            </w:r>
            <w:r w:rsidRPr="004A7FDA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EA1C45">
              <w:rPr>
                <w:rFonts w:ascii="Arial" w:hAnsi="Arial" w:cs="Arial"/>
                <w:sz w:val="20"/>
                <w:szCs w:val="20"/>
              </w:rPr>
              <w:t>ь</w:t>
            </w:r>
            <w:r w:rsidRPr="004A7FDA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:rsidR="004A7FDA" w:rsidRDefault="004A7FDA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г. – 1 166 539 рублей;</w:t>
            </w:r>
          </w:p>
          <w:p w:rsidR="004A7FDA" w:rsidRDefault="004A7FDA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г. </w:t>
            </w:r>
            <w:r w:rsidR="00A3673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739">
              <w:rPr>
                <w:rFonts w:ascii="Arial" w:hAnsi="Arial" w:cs="Arial"/>
                <w:sz w:val="20"/>
                <w:szCs w:val="20"/>
              </w:rPr>
              <w:t>1 895 </w:t>
            </w:r>
            <w:r w:rsidR="004827E2">
              <w:rPr>
                <w:rFonts w:ascii="Arial" w:hAnsi="Arial" w:cs="Arial"/>
                <w:sz w:val="20"/>
                <w:szCs w:val="20"/>
              </w:rPr>
              <w:t>600</w:t>
            </w:r>
            <w:r w:rsidR="00A36739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:rsidR="00A36739" w:rsidRDefault="00A36739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г. – 1 672 544 рубля;</w:t>
            </w:r>
          </w:p>
          <w:p w:rsidR="00A36739" w:rsidRDefault="00A36739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 – 1 774 570 рублей;</w:t>
            </w:r>
          </w:p>
          <w:p w:rsidR="00A36739" w:rsidRDefault="00A36739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 – 1 882 818 рублей;</w:t>
            </w:r>
          </w:p>
          <w:p w:rsidR="00A36739" w:rsidRPr="004A7FDA" w:rsidRDefault="00A36739" w:rsidP="004A7FDA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 – 1 997 670 рублей.</w:t>
            </w:r>
          </w:p>
        </w:tc>
      </w:tr>
    </w:tbl>
    <w:p w:rsidR="004A7FDA" w:rsidRDefault="004A7FDA" w:rsidP="004A7FDA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1259" w:right="-1"/>
        <w:jc w:val="both"/>
        <w:rPr>
          <w:rFonts w:ascii="Arial" w:hAnsi="Arial" w:cs="Arial"/>
        </w:rPr>
      </w:pPr>
    </w:p>
    <w:p w:rsidR="004A7FDA" w:rsidRDefault="00A36739" w:rsidP="00A36739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разделе 5 Подпрограммы «Ресурсное обеспечение подпрограммы» цифры </w:t>
      </w:r>
      <w:r w:rsidR="00EA1C45">
        <w:rPr>
          <w:rFonts w:ascii="Arial" w:hAnsi="Arial" w:cs="Arial"/>
        </w:rPr>
        <w:t xml:space="preserve">«10 389 742», </w:t>
      </w:r>
      <w:r>
        <w:rPr>
          <w:rFonts w:ascii="Arial" w:hAnsi="Arial" w:cs="Arial"/>
        </w:rPr>
        <w:t>«1 485 754»</w:t>
      </w:r>
      <w:r w:rsidR="00EA1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«1 576 385» заменить цифрами </w:t>
      </w:r>
      <w:r w:rsidR="00EA1C45">
        <w:rPr>
          <w:rFonts w:ascii="Arial" w:hAnsi="Arial" w:cs="Arial"/>
        </w:rPr>
        <w:t xml:space="preserve">«10 389 741», </w:t>
      </w:r>
      <w:r>
        <w:rPr>
          <w:rFonts w:ascii="Arial" w:hAnsi="Arial" w:cs="Arial"/>
        </w:rPr>
        <w:t>«1 166 539»</w:t>
      </w:r>
      <w:r w:rsidR="00EA1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«1 895 </w:t>
      </w:r>
      <w:r w:rsidR="004827E2">
        <w:rPr>
          <w:rFonts w:ascii="Arial" w:hAnsi="Arial" w:cs="Arial"/>
        </w:rPr>
        <w:t>600</w:t>
      </w:r>
      <w:r>
        <w:rPr>
          <w:rFonts w:ascii="Arial" w:hAnsi="Arial" w:cs="Arial"/>
        </w:rPr>
        <w:t>» соответственно.</w:t>
      </w:r>
    </w:p>
    <w:p w:rsidR="00A36739" w:rsidRDefault="00A129C6" w:rsidP="00A36739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«Систему программных мероприятий подпрограммы «Управление земельными ресурсами»</w:t>
      </w:r>
      <w:r w:rsidR="00A36739">
        <w:rPr>
          <w:rFonts w:ascii="Arial" w:hAnsi="Arial" w:cs="Arial"/>
        </w:rPr>
        <w:t xml:space="preserve"> изложить в редакции согласно приложению 2 к настоящему Постановлению.</w:t>
      </w:r>
    </w:p>
    <w:p w:rsidR="00A129C6" w:rsidRDefault="00A129C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6D79E9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88194B" w:rsidRPr="00DB5AA6" w:rsidRDefault="003456DC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города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К.Н. Антонов</w:t>
      </w:r>
    </w:p>
    <w:p w:rsidR="00701C01" w:rsidRDefault="00701C01" w:rsidP="00B21329">
      <w:pPr>
        <w:spacing w:after="360" w:line="360" w:lineRule="auto"/>
        <w:rPr>
          <w:rFonts w:ascii="Arial" w:hAnsi="Arial" w:cs="Arial"/>
          <w:b/>
        </w:rPr>
      </w:pPr>
    </w:p>
    <w:p w:rsidR="005353F6" w:rsidRDefault="005353F6" w:rsidP="00B21329">
      <w:pPr>
        <w:spacing w:after="360" w:line="360" w:lineRule="auto"/>
        <w:rPr>
          <w:rFonts w:ascii="Arial" w:hAnsi="Arial" w:cs="Arial"/>
          <w:b/>
        </w:rPr>
      </w:pPr>
    </w:p>
    <w:p w:rsidR="005353F6" w:rsidRDefault="005353F6" w:rsidP="00B21329">
      <w:pPr>
        <w:spacing w:after="360" w:line="360" w:lineRule="auto"/>
        <w:rPr>
          <w:rFonts w:ascii="Arial" w:hAnsi="Arial" w:cs="Arial"/>
          <w:b/>
        </w:rPr>
      </w:pPr>
    </w:p>
    <w:p w:rsidR="006D79E9" w:rsidRDefault="006D79E9" w:rsidP="00B21329">
      <w:pPr>
        <w:spacing w:after="360" w:line="360" w:lineRule="auto"/>
        <w:rPr>
          <w:rFonts w:ascii="Arial" w:hAnsi="Arial" w:cs="Arial"/>
          <w:b/>
        </w:rPr>
      </w:pPr>
    </w:p>
    <w:p w:rsidR="006D79E9" w:rsidRDefault="006D79E9" w:rsidP="00B21329">
      <w:pPr>
        <w:spacing w:after="360" w:line="360" w:lineRule="auto"/>
        <w:rPr>
          <w:rFonts w:ascii="Arial" w:hAnsi="Arial" w:cs="Arial"/>
          <w:b/>
        </w:rPr>
      </w:pPr>
    </w:p>
    <w:p w:rsidR="006D79E9" w:rsidRDefault="006D79E9" w:rsidP="00B21329">
      <w:pPr>
        <w:spacing w:after="360" w:line="360" w:lineRule="auto"/>
        <w:rPr>
          <w:rFonts w:ascii="Arial" w:hAnsi="Arial" w:cs="Arial"/>
          <w:b/>
        </w:rPr>
      </w:pPr>
    </w:p>
    <w:p w:rsidR="006D79E9" w:rsidRDefault="006D79E9" w:rsidP="00B21329">
      <w:pPr>
        <w:spacing w:after="360" w:line="360" w:lineRule="auto"/>
        <w:rPr>
          <w:rFonts w:ascii="Arial" w:hAnsi="Arial" w:cs="Arial"/>
          <w:b/>
        </w:rPr>
      </w:pPr>
    </w:p>
    <w:p w:rsidR="006D79E9" w:rsidRDefault="006D79E9" w:rsidP="00B21329">
      <w:pPr>
        <w:spacing w:after="360" w:line="360" w:lineRule="auto"/>
        <w:rPr>
          <w:rFonts w:ascii="Arial" w:hAnsi="Arial" w:cs="Arial"/>
          <w:b/>
        </w:rPr>
      </w:pPr>
    </w:p>
    <w:p w:rsidR="00A57BF6" w:rsidRPr="000C763E" w:rsidRDefault="00A57BF6" w:rsidP="00430AF3">
      <w:pPr>
        <w:pStyle w:val="a6"/>
        <w:spacing w:after="0"/>
        <w:rPr>
          <w:rFonts w:ascii="Arial" w:hAnsi="Arial" w:cs="Arial"/>
        </w:rPr>
      </w:pPr>
      <w:bookmarkStart w:id="40" w:name="_GoBack"/>
      <w:bookmarkEnd w:id="40"/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0AF3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Эльвира Сергеевна Муратаева</cp:lastModifiedBy>
  <cp:revision>7</cp:revision>
  <cp:lastPrinted>2018-04-10T07:53:00Z</cp:lastPrinted>
  <dcterms:created xsi:type="dcterms:W3CDTF">2018-04-10T03:26:00Z</dcterms:created>
  <dcterms:modified xsi:type="dcterms:W3CDTF">2018-04-25T02:05:00Z</dcterms:modified>
</cp:coreProperties>
</file>