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736D6B" wp14:editId="6E3960BC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906218">
        <w:t>06</w:t>
      </w:r>
      <w:r w:rsidRPr="00C265DF">
        <w:t xml:space="preserve">» </w:t>
      </w:r>
      <w:r w:rsidR="00906218">
        <w:t>02</w:t>
      </w:r>
      <w:r w:rsidR="00D72515">
        <w:t xml:space="preserve">  2019</w:t>
      </w:r>
      <w:r w:rsidRPr="00C265DF">
        <w:t xml:space="preserve"> г.</w:t>
      </w:r>
      <w:r w:rsidR="004039F6">
        <w:tab/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="00906218">
        <w:t xml:space="preserve">                                    </w:t>
      </w:r>
      <w:r w:rsidRPr="00C265DF">
        <w:t xml:space="preserve">№ </w:t>
      </w:r>
      <w:r w:rsidR="00906218">
        <w:t>132</w:t>
      </w:r>
    </w:p>
    <w:p w:rsidR="00EE6FDF" w:rsidRPr="00C265DF" w:rsidRDefault="00EE6FDF" w:rsidP="00EE6FDF">
      <w:pPr>
        <w:tabs>
          <w:tab w:val="left" w:pos="0"/>
        </w:tabs>
      </w:pPr>
    </w:p>
    <w:p w:rsidR="00EE6FDF" w:rsidRDefault="00EE6FDF" w:rsidP="00EE6FDF">
      <w:pPr>
        <w:tabs>
          <w:tab w:val="left" w:pos="0"/>
        </w:tabs>
      </w:pPr>
    </w:p>
    <w:p w:rsidR="000C2736" w:rsidRPr="00C265DF" w:rsidRDefault="000C2736" w:rsidP="00EE6FDF">
      <w:pPr>
        <w:tabs>
          <w:tab w:val="left" w:pos="0"/>
        </w:tabs>
      </w:pPr>
    </w:p>
    <w:p w:rsidR="00E5053F" w:rsidRDefault="00AA423F" w:rsidP="00E5053F">
      <w:pPr>
        <w:jc w:val="center"/>
        <w:rPr>
          <w:b/>
        </w:rPr>
      </w:pPr>
      <w:r>
        <w:rPr>
          <w:b/>
        </w:rPr>
        <w:t xml:space="preserve">Об утверждении </w:t>
      </w:r>
      <w:r w:rsidR="00E5053F" w:rsidRPr="00F9259B">
        <w:rPr>
          <w:b/>
        </w:rPr>
        <w:t xml:space="preserve">Правил расчета размера ассигнований местного бюджета на проведение </w:t>
      </w:r>
      <w:r w:rsidR="00E5053F">
        <w:rPr>
          <w:b/>
        </w:rPr>
        <w:t xml:space="preserve">содержания, </w:t>
      </w:r>
      <w:r w:rsidR="00E5053F" w:rsidRPr="00F9259B">
        <w:rPr>
          <w:b/>
        </w:rPr>
        <w:t>капитального ремонта и ремонта автомоб</w:t>
      </w:r>
      <w:r w:rsidR="00020FC4">
        <w:rPr>
          <w:b/>
        </w:rPr>
        <w:t>и</w:t>
      </w:r>
      <w:r w:rsidR="00E5053F" w:rsidRPr="00F9259B">
        <w:rPr>
          <w:b/>
        </w:rPr>
        <w:t>льных дорог местного значения</w:t>
      </w:r>
      <w:r w:rsidR="00E5053F">
        <w:rPr>
          <w:b/>
        </w:rPr>
        <w:t xml:space="preserve"> на территории </w:t>
      </w:r>
    </w:p>
    <w:p w:rsidR="00E5053F" w:rsidRDefault="00E5053F" w:rsidP="00E5053F">
      <w:pPr>
        <w:jc w:val="center"/>
        <w:rPr>
          <w:b/>
        </w:rPr>
      </w:pPr>
      <w:r>
        <w:rPr>
          <w:b/>
        </w:rPr>
        <w:t>муниципального образования «Город</w:t>
      </w:r>
      <w:r w:rsidR="00D72515">
        <w:rPr>
          <w:b/>
        </w:rPr>
        <w:t xml:space="preserve"> </w:t>
      </w:r>
      <w:r>
        <w:rPr>
          <w:b/>
        </w:rPr>
        <w:t>Мирный»</w:t>
      </w:r>
    </w:p>
    <w:p w:rsidR="00EE6FDF" w:rsidRDefault="00EE6FDF" w:rsidP="00E5053F">
      <w:pPr>
        <w:shd w:val="clear" w:color="auto" w:fill="FFFFFF"/>
        <w:ind w:right="6"/>
        <w:jc w:val="center"/>
        <w:rPr>
          <w:b/>
        </w:rPr>
      </w:pPr>
    </w:p>
    <w:p w:rsidR="006C30EB" w:rsidRDefault="006C30EB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0C6A3B" w:rsidP="006C30EB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>
        <w:t>В соответствии с Федеральным</w:t>
      </w:r>
      <w:r w:rsidR="00D72515">
        <w:t>и законами</w:t>
      </w:r>
      <w:r>
        <w:t xml:space="preserve"> от 06.10.2003 №</w:t>
      </w:r>
      <w:r w:rsidR="00D72515">
        <w:t xml:space="preserve"> </w:t>
      </w:r>
      <w:r>
        <w:t>131-ФЗ «Об общих принципх организации местного самоуправления в Российской Федерации», от 08.10.2007 №</w:t>
      </w:r>
      <w:r w:rsidR="00D72515">
        <w:t xml:space="preserve"> </w:t>
      </w:r>
      <w:r>
        <w:t>257-ФЗ</w:t>
      </w:r>
      <w:r w:rsidR="00E35354">
        <w:t xml:space="preserve"> «Об автомобильных дорогах и дорожной деятельности в Российской Федерации»</w:t>
      </w:r>
      <w:r w:rsidR="00EE6FDF" w:rsidRPr="001F45C2">
        <w:t>,</w:t>
      </w:r>
      <w:r w:rsidR="004039F6">
        <w:t xml:space="preserve"> </w:t>
      </w:r>
      <w:r w:rsidR="00EE6FDF" w:rsidRPr="001F45C2">
        <w:rPr>
          <w:b/>
        </w:rPr>
        <w:t>городская Администрация постановляет:</w:t>
      </w:r>
    </w:p>
    <w:p w:rsidR="00F9259B" w:rsidRDefault="00F9259B" w:rsidP="006C30E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 xml:space="preserve">Утвердить </w:t>
      </w:r>
      <w:r w:rsidR="00D72515">
        <w:t xml:space="preserve">прилагаемые </w:t>
      </w:r>
      <w:r>
        <w:t>Правила расчета размера ассигнований местного бюджета на проведение</w:t>
      </w:r>
      <w:r w:rsidR="00681C32">
        <w:t xml:space="preserve"> содержания,</w:t>
      </w:r>
      <w:r>
        <w:t xml:space="preserve"> капиталь</w:t>
      </w:r>
      <w:r w:rsidR="00F83770">
        <w:t>ного ремонта и ремонта автомобил</w:t>
      </w:r>
      <w:r>
        <w:t>ьных дорог местного значения.</w:t>
      </w:r>
    </w:p>
    <w:p w:rsidR="00E35354" w:rsidRPr="001F45C2" w:rsidRDefault="00E35354" w:rsidP="006C30E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Опубликовать настоящее Постановление в порядке, установленном Уставом муниципального образования «Город Мирный».</w:t>
      </w:r>
    </w:p>
    <w:p w:rsidR="00EE6FDF" w:rsidRPr="001F45C2" w:rsidRDefault="00AF0ABB" w:rsidP="006C30E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113354">
        <w:t>оставляю за собой</w:t>
      </w:r>
      <w:r w:rsidR="0072168F">
        <w:t>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260D11" w:rsidRPr="001F45C2" w:rsidRDefault="00260D11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113354" w:rsidP="00EE6FDF">
      <w:pPr>
        <w:tabs>
          <w:tab w:val="left" w:pos="-567"/>
        </w:tabs>
        <w:ind w:left="-567" w:firstLine="567"/>
      </w:pPr>
      <w:r>
        <w:rPr>
          <w:b/>
        </w:rPr>
        <w:t xml:space="preserve">И.о. </w:t>
      </w:r>
      <w:r w:rsidR="00EE6FDF" w:rsidRPr="001F45C2">
        <w:rPr>
          <w:b/>
        </w:rPr>
        <w:t>Глав</w:t>
      </w:r>
      <w:r>
        <w:rPr>
          <w:b/>
        </w:rPr>
        <w:t>ы</w:t>
      </w:r>
      <w:r w:rsidR="00EE6FDF" w:rsidRPr="001F45C2">
        <w:rPr>
          <w:b/>
        </w:rPr>
        <w:t xml:space="preserve"> города</w:t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С.Ю. Медведь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113354" w:rsidRDefault="00113354" w:rsidP="00EE6FDF">
      <w:pPr>
        <w:ind w:left="284" w:hanging="540"/>
        <w:rPr>
          <w:b/>
        </w:rPr>
      </w:pPr>
    </w:p>
    <w:p w:rsidR="00113354" w:rsidRDefault="00113354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CD7045" w:rsidRPr="00E745F7" w:rsidRDefault="00CD7045" w:rsidP="00E745F7">
      <w:pPr>
        <w:rPr>
          <w:b/>
        </w:rPr>
      </w:pPr>
    </w:p>
    <w:p w:rsidR="00CD7045" w:rsidRDefault="00CD7045" w:rsidP="00EE6FDF">
      <w:pPr>
        <w:ind w:left="284" w:hanging="540"/>
        <w:rPr>
          <w:b/>
        </w:rPr>
      </w:pPr>
    </w:p>
    <w:p w:rsidR="000C2736" w:rsidRDefault="000C2736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E5053F" w:rsidRDefault="00E5053F" w:rsidP="00EE6FDF">
      <w:pPr>
        <w:ind w:left="284" w:hanging="540"/>
        <w:rPr>
          <w:b/>
        </w:rPr>
      </w:pPr>
    </w:p>
    <w:p w:rsidR="00E5053F" w:rsidRDefault="00E5053F" w:rsidP="00EE6FDF">
      <w:pPr>
        <w:ind w:left="284" w:hanging="540"/>
        <w:rPr>
          <w:b/>
        </w:rPr>
      </w:pPr>
    </w:p>
    <w:p w:rsidR="00E5053F" w:rsidRDefault="00E5053F" w:rsidP="00EE6FDF">
      <w:pPr>
        <w:ind w:left="284" w:hanging="540"/>
        <w:rPr>
          <w:b/>
        </w:rPr>
      </w:pPr>
    </w:p>
    <w:p w:rsidR="00E5053F" w:rsidRDefault="00E5053F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F9259B" w:rsidRPr="00774278" w:rsidRDefault="00F9259B" w:rsidP="00F9259B">
      <w:pPr>
        <w:ind w:left="284" w:hanging="540"/>
        <w:jc w:val="right"/>
      </w:pPr>
      <w:r w:rsidRPr="00774278">
        <w:t>Приложение</w:t>
      </w:r>
      <w:r w:rsidR="00E5053F">
        <w:t xml:space="preserve"> </w:t>
      </w:r>
    </w:p>
    <w:p w:rsidR="00F9259B" w:rsidRDefault="00F9259B" w:rsidP="00F9259B">
      <w:pPr>
        <w:ind w:left="284" w:hanging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городской Администрации</w:t>
      </w:r>
    </w:p>
    <w:p w:rsidR="00F9259B" w:rsidRPr="00C265DF" w:rsidRDefault="00F9259B" w:rsidP="00F9259B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 w:rsidR="00D72515">
        <w:tab/>
      </w:r>
      <w:r w:rsidR="00906218">
        <w:t>от «06» 02</w:t>
      </w:r>
      <w:r w:rsidR="00D72515">
        <w:t xml:space="preserve"> 2019 </w:t>
      </w:r>
      <w:r>
        <w:t xml:space="preserve">г. </w:t>
      </w:r>
      <w:r w:rsidRPr="00C265DF">
        <w:t xml:space="preserve">№ </w:t>
      </w:r>
      <w:r w:rsidR="00906218">
        <w:t>132</w:t>
      </w:r>
    </w:p>
    <w:p w:rsidR="00F9259B" w:rsidRDefault="00F9259B" w:rsidP="00774278">
      <w:pPr>
        <w:jc w:val="both"/>
      </w:pPr>
    </w:p>
    <w:p w:rsidR="00F9259B" w:rsidRDefault="00F9259B" w:rsidP="00F9259B">
      <w:pPr>
        <w:jc w:val="center"/>
      </w:pPr>
    </w:p>
    <w:p w:rsidR="00F9259B" w:rsidRDefault="00F9259B" w:rsidP="00F9259B">
      <w:pPr>
        <w:jc w:val="center"/>
        <w:rPr>
          <w:b/>
        </w:rPr>
      </w:pPr>
      <w:r w:rsidRPr="00F9259B">
        <w:rPr>
          <w:b/>
        </w:rPr>
        <w:t xml:space="preserve">Правила расчета размера ассигнований местного бюджета на проведение </w:t>
      </w:r>
      <w:r w:rsidR="00681C32">
        <w:rPr>
          <w:b/>
        </w:rPr>
        <w:t xml:space="preserve">содержания, </w:t>
      </w:r>
      <w:r w:rsidRPr="00F9259B">
        <w:rPr>
          <w:b/>
        </w:rPr>
        <w:t>капитального ремонта и ремонта автомоблиьных дорог местного значения</w:t>
      </w:r>
      <w:r w:rsidR="00700C0D">
        <w:rPr>
          <w:b/>
        </w:rPr>
        <w:t xml:space="preserve"> на территории </w:t>
      </w:r>
    </w:p>
    <w:p w:rsidR="00700C0D" w:rsidRDefault="00700C0D" w:rsidP="00F9259B">
      <w:pPr>
        <w:jc w:val="center"/>
        <w:rPr>
          <w:b/>
        </w:rPr>
      </w:pPr>
      <w:r>
        <w:rPr>
          <w:b/>
        </w:rPr>
        <w:t>муниципального образования «ГородМирный»</w:t>
      </w:r>
    </w:p>
    <w:p w:rsidR="00F9259B" w:rsidRDefault="00F9259B" w:rsidP="00F9259B">
      <w:pPr>
        <w:jc w:val="center"/>
        <w:rPr>
          <w:b/>
        </w:rPr>
      </w:pPr>
    </w:p>
    <w:p w:rsidR="00F9259B" w:rsidRPr="00F9259B" w:rsidRDefault="00F9259B" w:rsidP="00F9259B">
      <w:pPr>
        <w:ind w:firstLine="709"/>
        <w:jc w:val="both"/>
      </w:pPr>
      <w:r w:rsidRPr="00F9259B">
        <w:t xml:space="preserve">1. Нормативы финансовых затрат применяются для определения размера ассигнований из местного бюджета, предусматриваемых на </w:t>
      </w:r>
      <w:r w:rsidR="00681C32">
        <w:t xml:space="preserve">содержание, </w:t>
      </w:r>
      <w:r w:rsidRPr="00F9259B">
        <w:t xml:space="preserve">ремонт, капитальный ремонт автомобильных дорог местного значения на территории </w:t>
      </w:r>
      <w:r w:rsidR="0036096B">
        <w:t xml:space="preserve">муниципального образования </w:t>
      </w:r>
      <w:r w:rsidRPr="00F9259B">
        <w:t xml:space="preserve"> </w:t>
      </w:r>
      <w:r w:rsidR="0036096B">
        <w:t>«Город Мирный»</w:t>
      </w:r>
      <w:r w:rsidRPr="00F9259B">
        <w:t xml:space="preserve"> (далее по тексту - автомобильные дороги местного значения) на 201</w:t>
      </w:r>
      <w:r w:rsidR="0036096B">
        <w:t>9</w:t>
      </w:r>
      <w:r w:rsidRPr="00F9259B">
        <w:t xml:space="preserve"> год и последующие годы.</w:t>
      </w:r>
    </w:p>
    <w:p w:rsidR="00F9259B" w:rsidRPr="00F9259B" w:rsidRDefault="00F9259B" w:rsidP="0036096B">
      <w:pPr>
        <w:ind w:firstLine="709"/>
        <w:jc w:val="both"/>
      </w:pPr>
      <w:r w:rsidRPr="00F9259B">
        <w:t>2. В зависимости от категории автомобильной дороги местного значения и индекса-дефлятора на соответствующий год применительно к каждой автомобильной дороге местного значения определяются приведенные нормативы (Н</w:t>
      </w:r>
      <w:r w:rsidRPr="00F9259B">
        <w:rPr>
          <w:vertAlign w:val="subscript"/>
        </w:rPr>
        <w:t>прив.кап.рем.</w:t>
      </w:r>
      <w:r w:rsidRPr="00F9259B">
        <w:t>, Н</w:t>
      </w:r>
      <w:r w:rsidRPr="00F9259B">
        <w:rPr>
          <w:vertAlign w:val="subscript"/>
        </w:rPr>
        <w:t>прив.рем.</w:t>
      </w:r>
      <w:r w:rsidRPr="00F9259B">
        <w:t>, Н</w:t>
      </w:r>
      <w:r w:rsidRPr="00F9259B">
        <w:rPr>
          <w:vertAlign w:val="subscript"/>
        </w:rPr>
        <w:t>прив.сод.</w:t>
      </w:r>
      <w:r w:rsidRPr="00F9259B">
        <w:t>), рассчитываемые по формуле: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113354">
      <w:pPr>
        <w:jc w:val="center"/>
      </w:pPr>
      <w:r w:rsidRPr="00F9259B">
        <w:t>Н</w:t>
      </w:r>
      <w:r w:rsidRPr="00F9259B">
        <w:rPr>
          <w:vertAlign w:val="subscript"/>
        </w:rPr>
        <w:t>прив.</w:t>
      </w:r>
      <w:r w:rsidRPr="00F9259B">
        <w:t xml:space="preserve"> = Н x К</w:t>
      </w:r>
      <w:r w:rsidRPr="00F9259B">
        <w:rPr>
          <w:vertAlign w:val="subscript"/>
        </w:rPr>
        <w:t>деф.</w:t>
      </w:r>
      <w:r w:rsidRPr="00F9259B">
        <w:t xml:space="preserve"> X К</w:t>
      </w:r>
      <w:r w:rsidRPr="00F9259B">
        <w:rPr>
          <w:vertAlign w:val="subscript"/>
        </w:rPr>
        <w:t>кат.</w:t>
      </w:r>
      <w:r w:rsidRPr="00F9259B">
        <w:t xml:space="preserve"> x k</w:t>
      </w:r>
      <w:r w:rsidRPr="00F9259B">
        <w:rPr>
          <w:vertAlign w:val="subscript"/>
        </w:rPr>
        <w:t>поправочный</w:t>
      </w:r>
      <w:r w:rsidRPr="00F9259B">
        <w:t>,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F9259B">
      <w:pPr>
        <w:jc w:val="both"/>
      </w:pPr>
      <w:r w:rsidRPr="00F9259B">
        <w:t>где:</w:t>
      </w:r>
    </w:p>
    <w:p w:rsidR="00F9259B" w:rsidRPr="00F9259B" w:rsidRDefault="00F9259B" w:rsidP="00F9259B">
      <w:pPr>
        <w:jc w:val="both"/>
      </w:pPr>
      <w:r w:rsidRPr="00F9259B">
        <w:t>Н - установленный норматив денежных затрат на</w:t>
      </w:r>
      <w:r w:rsidR="00681C32">
        <w:t xml:space="preserve"> содержание, </w:t>
      </w:r>
      <w:r w:rsidRPr="00F9259B">
        <w:t>ремонт, капитальный ремонт автомобильных дорог местного значения;</w:t>
      </w:r>
    </w:p>
    <w:p w:rsidR="00F9259B" w:rsidRPr="00F9259B" w:rsidRDefault="00F9259B" w:rsidP="00F9259B">
      <w:pPr>
        <w:jc w:val="both"/>
      </w:pPr>
      <w:r w:rsidRPr="00F9259B">
        <w:t>К</w:t>
      </w:r>
      <w:r w:rsidRPr="00F9259B">
        <w:rPr>
          <w:vertAlign w:val="subscript"/>
        </w:rPr>
        <w:t>деф.</w:t>
      </w:r>
      <w:r w:rsidRPr="00F9259B">
        <w:t xml:space="preserve"> - индекс-дефлятор инвестиций в основной капитал за счет всех источников финансирования в части содержания, капитального ремонта, ремонта автомобильных дорог местного значения на год планирования (при расчете на период более одного года - произведение индексов-дефляторов на соответствующие годы), установленные Министерством экономики Республики Саха (Якутия) для прогноза социально-экономического развития и учитываемые при формировании местного бюджета на соответствующий финансовый год и плановый период;</w:t>
      </w:r>
    </w:p>
    <w:p w:rsidR="00F9259B" w:rsidRPr="00681C32" w:rsidRDefault="00F9259B" w:rsidP="00F9259B">
      <w:pPr>
        <w:jc w:val="both"/>
      </w:pPr>
      <w:r w:rsidRPr="00F9259B">
        <w:t>К</w:t>
      </w:r>
      <w:r w:rsidRPr="00F9259B">
        <w:rPr>
          <w:vertAlign w:val="subscript"/>
        </w:rPr>
        <w:t>кат.</w:t>
      </w:r>
      <w:r w:rsidRPr="00F9259B">
        <w:t xml:space="preserve"> - коэффициент, учитывающий дифференциацию стоимости работ по содержанию и ремонту автомобильных дорог местного значения по соответствующим категориям, согласно </w:t>
      </w:r>
      <w:hyperlink w:anchor="Par11" w:history="1">
        <w:r w:rsidRPr="00681C32">
          <w:rPr>
            <w:rStyle w:val="af4"/>
            <w:color w:val="auto"/>
            <w:u w:val="none"/>
          </w:rPr>
          <w:t>таблице 1</w:t>
        </w:r>
      </w:hyperlink>
      <w:r w:rsidRPr="00681C32">
        <w:t>;</w:t>
      </w:r>
    </w:p>
    <w:p w:rsidR="00F9259B" w:rsidRPr="00F9259B" w:rsidRDefault="00F9259B" w:rsidP="00F9259B">
      <w:pPr>
        <w:jc w:val="both"/>
      </w:pPr>
      <w:r w:rsidRPr="00F9259B">
        <w:t>k</w:t>
      </w:r>
      <w:r w:rsidRPr="00F9259B">
        <w:rPr>
          <w:vertAlign w:val="subscript"/>
        </w:rPr>
        <w:t>поправочный</w:t>
      </w:r>
      <w:r w:rsidRPr="00F9259B">
        <w:t xml:space="preserve"> - поправочный коэффициент для корректировки размера ассигнований, утверждаемый </w:t>
      </w:r>
      <w:r w:rsidR="00D72515">
        <w:t>городской Администрацией</w:t>
      </w:r>
      <w:r w:rsidRPr="00F9259B">
        <w:t xml:space="preserve"> на соответствующий финансовый год.</w:t>
      </w:r>
    </w:p>
    <w:p w:rsidR="00F9259B" w:rsidRPr="00F9259B" w:rsidRDefault="00F9259B" w:rsidP="00F9259B">
      <w:pPr>
        <w:jc w:val="both"/>
      </w:pPr>
    </w:p>
    <w:p w:rsidR="00681C32" w:rsidRDefault="00F9259B" w:rsidP="00681C32">
      <w:pPr>
        <w:jc w:val="right"/>
      </w:pPr>
      <w:bookmarkStart w:id="0" w:name="Par11"/>
      <w:bookmarkEnd w:id="0"/>
      <w:r w:rsidRPr="00F9259B">
        <w:t xml:space="preserve">Таблица 1 </w:t>
      </w:r>
    </w:p>
    <w:p w:rsidR="00681C32" w:rsidRDefault="00681C32" w:rsidP="00681C32">
      <w:pPr>
        <w:jc w:val="center"/>
      </w:pPr>
    </w:p>
    <w:p w:rsidR="00F9259B" w:rsidRPr="00F9259B" w:rsidRDefault="00F9259B" w:rsidP="00681C32">
      <w:pPr>
        <w:jc w:val="center"/>
      </w:pPr>
      <w:r w:rsidRPr="00F9259B">
        <w:t>Коэффициенты, учитывающие дифференциацию</w:t>
      </w:r>
    </w:p>
    <w:p w:rsidR="00F9259B" w:rsidRPr="00F9259B" w:rsidRDefault="00F9259B" w:rsidP="00681C32">
      <w:pPr>
        <w:jc w:val="center"/>
      </w:pPr>
      <w:r w:rsidRPr="00F9259B">
        <w:t>стоимости работ по содержанию, ремонту, капитальному</w:t>
      </w:r>
    </w:p>
    <w:p w:rsidR="00F9259B" w:rsidRPr="00F9259B" w:rsidRDefault="00F9259B" w:rsidP="00681C32">
      <w:pPr>
        <w:jc w:val="center"/>
      </w:pPr>
      <w:r w:rsidRPr="00F9259B">
        <w:t>ремонту автомобильных дорог местного значения</w:t>
      </w:r>
    </w:p>
    <w:p w:rsidR="00F9259B" w:rsidRPr="00F9259B" w:rsidRDefault="00F9259B" w:rsidP="00681C32">
      <w:pPr>
        <w:jc w:val="center"/>
      </w:pPr>
      <w:r w:rsidRPr="00F9259B">
        <w:t>по соответствующим категориям</w:t>
      </w:r>
    </w:p>
    <w:p w:rsidR="00F9259B" w:rsidRPr="00F9259B" w:rsidRDefault="00F9259B" w:rsidP="00F9259B">
      <w:pPr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1843"/>
        <w:gridCol w:w="1701"/>
      </w:tblGrid>
      <w:tr w:rsidR="00F9259B" w:rsidRPr="00F9259B" w:rsidTr="00681C3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F9259B">
            <w:pPr>
              <w:jc w:val="both"/>
            </w:pPr>
            <w:r w:rsidRPr="00F9259B">
              <w:t>Наименование работ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F9259B">
            <w:pPr>
              <w:jc w:val="both"/>
            </w:pPr>
            <w:r w:rsidRPr="00F9259B">
              <w:t>Категория автомобильных дорог</w:t>
            </w:r>
          </w:p>
        </w:tc>
      </w:tr>
      <w:tr w:rsidR="00F9259B" w:rsidRPr="00F9259B" w:rsidTr="00681C3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B" w:rsidRPr="00F9259B" w:rsidRDefault="00F9259B" w:rsidP="00F9259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V</w:t>
            </w:r>
          </w:p>
        </w:tc>
      </w:tr>
      <w:tr w:rsidR="00F9259B" w:rsidRPr="00F9259B" w:rsidTr="00681C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F9259B">
            <w:pPr>
              <w:jc w:val="both"/>
            </w:pPr>
            <w:r w:rsidRPr="00F9259B"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1,0</w:t>
            </w:r>
          </w:p>
        </w:tc>
      </w:tr>
      <w:tr w:rsidR="00F9259B" w:rsidRPr="00F9259B" w:rsidTr="00681C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F9259B">
            <w:pPr>
              <w:jc w:val="both"/>
            </w:pPr>
            <w:r w:rsidRPr="00F9259B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0,83</w:t>
            </w:r>
          </w:p>
        </w:tc>
      </w:tr>
      <w:tr w:rsidR="00F9259B" w:rsidRPr="00F9259B" w:rsidTr="00681C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F9259B">
            <w:pPr>
              <w:jc w:val="both"/>
            </w:pPr>
            <w:r w:rsidRPr="00F9259B">
              <w:t>Капитальный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B" w:rsidRPr="00F9259B" w:rsidRDefault="00F9259B" w:rsidP="00681C32">
            <w:pPr>
              <w:jc w:val="center"/>
            </w:pPr>
            <w:r w:rsidRPr="00F9259B">
              <w:t>0,83</w:t>
            </w:r>
          </w:p>
        </w:tc>
      </w:tr>
    </w:tbl>
    <w:p w:rsidR="00F9259B" w:rsidRPr="00F9259B" w:rsidRDefault="00F9259B" w:rsidP="00F9259B">
      <w:pPr>
        <w:jc w:val="both"/>
      </w:pPr>
    </w:p>
    <w:p w:rsidR="00F9259B" w:rsidRPr="00F9259B" w:rsidRDefault="00F9259B" w:rsidP="00681C32">
      <w:pPr>
        <w:ind w:firstLine="709"/>
        <w:jc w:val="both"/>
      </w:pPr>
      <w:r w:rsidRPr="00F9259B">
        <w:t xml:space="preserve">3. Определение размера ассигнований из бюджета </w:t>
      </w:r>
      <w:r w:rsidR="00681C32">
        <w:t>городской Админи</w:t>
      </w:r>
      <w:r w:rsidR="009855F0">
        <w:t>с</w:t>
      </w:r>
      <w:r w:rsidR="00681C32">
        <w:t>трации</w:t>
      </w:r>
      <w:r w:rsidRPr="00F9259B">
        <w:t xml:space="preserve"> на капитальный ремонт и ремонт автомобильных дорог местного значения осуществляется по формулам: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681C32">
      <w:pPr>
        <w:jc w:val="center"/>
      </w:pPr>
      <w:r w:rsidRPr="00F9259B">
        <w:t>а) А</w:t>
      </w:r>
      <w:r w:rsidRPr="00F9259B">
        <w:rPr>
          <w:vertAlign w:val="subscript"/>
        </w:rPr>
        <w:t>кап.рем.</w:t>
      </w:r>
      <w:r w:rsidRPr="00F9259B">
        <w:t xml:space="preserve"> = Н</w:t>
      </w:r>
      <w:r w:rsidRPr="00F9259B">
        <w:rPr>
          <w:vertAlign w:val="subscript"/>
        </w:rPr>
        <w:t>прив.кап.рем.</w:t>
      </w:r>
      <w:r w:rsidRPr="00F9259B">
        <w:t xml:space="preserve"> x L</w:t>
      </w:r>
      <w:r w:rsidRPr="00F9259B">
        <w:rPr>
          <w:vertAlign w:val="subscript"/>
        </w:rPr>
        <w:t>кап.рем.</w:t>
      </w:r>
      <w:r w:rsidRPr="00F9259B">
        <w:t>,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F9259B">
      <w:pPr>
        <w:jc w:val="both"/>
      </w:pPr>
      <w:r w:rsidRPr="00F9259B">
        <w:t>где:</w:t>
      </w:r>
    </w:p>
    <w:p w:rsidR="00F9259B" w:rsidRPr="00F9259B" w:rsidRDefault="00F9259B" w:rsidP="00F9259B">
      <w:pPr>
        <w:jc w:val="both"/>
      </w:pPr>
      <w:r w:rsidRPr="00F9259B">
        <w:t>А</w:t>
      </w:r>
      <w:r w:rsidRPr="00F9259B">
        <w:rPr>
          <w:vertAlign w:val="subscript"/>
        </w:rPr>
        <w:t>кап.рем.</w:t>
      </w:r>
      <w:r w:rsidRPr="00F9259B">
        <w:t xml:space="preserve"> - размер ассигнований из бюджета </w:t>
      </w:r>
      <w:r w:rsidR="00681C32">
        <w:t>городской Администрации</w:t>
      </w:r>
      <w:r w:rsidRPr="00F9259B">
        <w:t xml:space="preserve"> на выполнение работ по капитальному ремонту автомобильных работ местного значения каждой категории;</w:t>
      </w:r>
    </w:p>
    <w:p w:rsidR="00F9259B" w:rsidRPr="00F9259B" w:rsidRDefault="00F9259B" w:rsidP="00F9259B">
      <w:pPr>
        <w:jc w:val="both"/>
      </w:pPr>
      <w:r w:rsidRPr="00F9259B">
        <w:t>Н</w:t>
      </w:r>
      <w:r w:rsidRPr="00F9259B">
        <w:rPr>
          <w:vertAlign w:val="subscript"/>
        </w:rPr>
        <w:t>прив.кап.рем.</w:t>
      </w:r>
      <w:r w:rsidRPr="00F9259B">
        <w:t xml:space="preserve"> - приведенный норматив финансовых затрат на работы по капитальному ремонту автомобильных дорог местного значения каждой категории;</w:t>
      </w:r>
    </w:p>
    <w:p w:rsidR="00F9259B" w:rsidRPr="00F9259B" w:rsidRDefault="00F9259B" w:rsidP="00F9259B">
      <w:pPr>
        <w:jc w:val="both"/>
      </w:pPr>
      <w:r w:rsidRPr="00F9259B">
        <w:t>L</w:t>
      </w:r>
      <w:r w:rsidRPr="00F9259B">
        <w:rPr>
          <w:vertAlign w:val="subscript"/>
        </w:rPr>
        <w:t>кап.рем.</w:t>
      </w:r>
      <w:r w:rsidRPr="00F9259B">
        <w:t xml:space="preserve"> - расчетная площадь автомобильных дорог местного значения каждой категории, подлежащих капитальному ремонту на год планирования (кв. м);</w:t>
      </w:r>
    </w:p>
    <w:p w:rsidR="00F9259B" w:rsidRPr="00F9259B" w:rsidRDefault="00F9259B" w:rsidP="00F9259B">
      <w:pPr>
        <w:jc w:val="both"/>
      </w:pPr>
      <w:r w:rsidRPr="00F9259B">
        <w:t>k</w:t>
      </w:r>
      <w:r w:rsidRPr="00F9259B">
        <w:rPr>
          <w:vertAlign w:val="subscript"/>
        </w:rPr>
        <w:t>переход.период</w:t>
      </w:r>
      <w:r w:rsidRPr="00F9259B">
        <w:t xml:space="preserve"> - поправочный коэффициент для корректировки размера ассигнований;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681C32">
      <w:pPr>
        <w:jc w:val="center"/>
      </w:pPr>
      <w:r w:rsidRPr="00F9259B">
        <w:t>б) А</w:t>
      </w:r>
      <w:r w:rsidRPr="00F9259B">
        <w:rPr>
          <w:vertAlign w:val="subscript"/>
        </w:rPr>
        <w:t>рем.</w:t>
      </w:r>
      <w:r w:rsidRPr="00F9259B">
        <w:t xml:space="preserve"> = Н</w:t>
      </w:r>
      <w:r w:rsidRPr="00F9259B">
        <w:rPr>
          <w:vertAlign w:val="subscript"/>
        </w:rPr>
        <w:t>прив.рем.</w:t>
      </w:r>
      <w:r w:rsidRPr="00F9259B">
        <w:t xml:space="preserve"> x L</w:t>
      </w:r>
      <w:r w:rsidRPr="00F9259B">
        <w:rPr>
          <w:vertAlign w:val="subscript"/>
        </w:rPr>
        <w:t>рем.</w:t>
      </w:r>
      <w:r w:rsidRPr="00F9259B">
        <w:t>,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F9259B">
      <w:pPr>
        <w:jc w:val="both"/>
      </w:pPr>
      <w:r w:rsidRPr="00F9259B">
        <w:t>где:</w:t>
      </w:r>
    </w:p>
    <w:p w:rsidR="00F9259B" w:rsidRPr="00F9259B" w:rsidRDefault="00F9259B" w:rsidP="00F9259B">
      <w:pPr>
        <w:jc w:val="both"/>
      </w:pPr>
      <w:r w:rsidRPr="00F9259B">
        <w:t>А</w:t>
      </w:r>
      <w:r w:rsidRPr="00F9259B">
        <w:rPr>
          <w:vertAlign w:val="subscript"/>
        </w:rPr>
        <w:t>рем.</w:t>
      </w:r>
      <w:r w:rsidRPr="00F9259B">
        <w:t xml:space="preserve"> - размер ассигнований из бюджета </w:t>
      </w:r>
      <w:r w:rsidR="00681C32">
        <w:t>городской Админ</w:t>
      </w:r>
      <w:r w:rsidR="009855F0">
        <w:t>и</w:t>
      </w:r>
      <w:r w:rsidR="00681C32">
        <w:t>страции</w:t>
      </w:r>
      <w:r w:rsidRPr="00F9259B">
        <w:t xml:space="preserve"> на выполнение работ по ремонту автомобильных дорог местного значения каждой категории;</w:t>
      </w:r>
    </w:p>
    <w:p w:rsidR="00F9259B" w:rsidRPr="00F9259B" w:rsidRDefault="00F9259B" w:rsidP="00F9259B">
      <w:pPr>
        <w:jc w:val="both"/>
      </w:pPr>
      <w:r w:rsidRPr="00F9259B">
        <w:t>Н</w:t>
      </w:r>
      <w:r w:rsidRPr="00F9259B">
        <w:rPr>
          <w:vertAlign w:val="subscript"/>
        </w:rPr>
        <w:t>прив.рем.</w:t>
      </w:r>
      <w:r w:rsidRPr="00F9259B">
        <w:t xml:space="preserve"> - приведенный норматив финансовых затрат на работы по ремонту автомобильных дорог местного значения каждой категории;</w:t>
      </w:r>
    </w:p>
    <w:p w:rsidR="00F9259B" w:rsidRPr="00F9259B" w:rsidRDefault="00F9259B" w:rsidP="00F9259B">
      <w:pPr>
        <w:jc w:val="both"/>
      </w:pPr>
      <w:r w:rsidRPr="00F9259B">
        <w:t>L</w:t>
      </w:r>
      <w:r w:rsidRPr="00F9259B">
        <w:rPr>
          <w:vertAlign w:val="subscript"/>
        </w:rPr>
        <w:t>рем.</w:t>
      </w:r>
      <w:r w:rsidRPr="00F9259B">
        <w:t xml:space="preserve"> - расчетная площадь автомобильных дорог местного значения каждой категории, подлежащих ремонту на год планирования (кв. м);</w:t>
      </w:r>
    </w:p>
    <w:p w:rsidR="00F9259B" w:rsidRPr="00F9259B" w:rsidRDefault="00F9259B" w:rsidP="00F9259B">
      <w:pPr>
        <w:jc w:val="both"/>
      </w:pPr>
      <w:r w:rsidRPr="00F9259B">
        <w:t>k</w:t>
      </w:r>
      <w:r w:rsidRPr="00F9259B">
        <w:rPr>
          <w:vertAlign w:val="subscript"/>
        </w:rPr>
        <w:t>переход.период</w:t>
      </w:r>
      <w:r w:rsidRPr="00F9259B">
        <w:t xml:space="preserve"> - поправочный коэффициент для корректировки размера ассигнований в переходный период.</w:t>
      </w:r>
    </w:p>
    <w:p w:rsidR="00F9259B" w:rsidRPr="00F9259B" w:rsidRDefault="00F9259B" w:rsidP="00681C32">
      <w:pPr>
        <w:ind w:firstLine="709"/>
        <w:jc w:val="both"/>
      </w:pPr>
      <w:r w:rsidRPr="00F9259B">
        <w:t xml:space="preserve">Общая потребность в ассигнованиях из бюджета </w:t>
      </w:r>
      <w:r w:rsidR="00681C32">
        <w:t>городской Админ</w:t>
      </w:r>
      <w:r w:rsidR="009855F0">
        <w:t>и</w:t>
      </w:r>
      <w:r w:rsidR="00681C32">
        <w:t>страции</w:t>
      </w:r>
      <w:r w:rsidRPr="00F9259B">
        <w:t xml:space="preserve"> на выполнение работ по капитальному ремонту и ремонту автомобильных дорог местного значения определяется как сумма ассигнований на выполнение работ по всем категориям автомобильных дорог местного значения.</w:t>
      </w:r>
    </w:p>
    <w:p w:rsidR="00F9259B" w:rsidRPr="00F9259B" w:rsidRDefault="00F9259B" w:rsidP="00681C32">
      <w:pPr>
        <w:ind w:firstLine="709"/>
        <w:jc w:val="both"/>
      </w:pPr>
      <w:r w:rsidRPr="00F9259B">
        <w:t xml:space="preserve">4. Расчет размера ассигнований из бюджета </w:t>
      </w:r>
      <w:r w:rsidR="009855F0">
        <w:t>городс</w:t>
      </w:r>
      <w:r w:rsidR="00681C32">
        <w:t>кой Админ</w:t>
      </w:r>
      <w:r w:rsidR="009855F0">
        <w:t>и</w:t>
      </w:r>
      <w:r w:rsidR="00681C32">
        <w:t>страции</w:t>
      </w:r>
      <w:r w:rsidRPr="00F9259B">
        <w:t xml:space="preserve"> на выполнение работ по содержанию автомобильных дорог местного значения осуществляется по формуле: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681C32">
      <w:pPr>
        <w:jc w:val="center"/>
      </w:pPr>
      <w:r w:rsidRPr="00F9259B">
        <w:t>А</w:t>
      </w:r>
      <w:r w:rsidRPr="00F9259B">
        <w:rPr>
          <w:vertAlign w:val="subscript"/>
        </w:rPr>
        <w:t>сод.</w:t>
      </w:r>
      <w:r w:rsidRPr="00F9259B">
        <w:t xml:space="preserve"> = Н</w:t>
      </w:r>
      <w:r w:rsidRPr="00F9259B">
        <w:rPr>
          <w:vertAlign w:val="subscript"/>
        </w:rPr>
        <w:t>прив.сод.</w:t>
      </w:r>
      <w:r w:rsidRPr="00F9259B">
        <w:t xml:space="preserve"> x L</w:t>
      </w:r>
      <w:r w:rsidRPr="00F9259B">
        <w:rPr>
          <w:vertAlign w:val="subscript"/>
        </w:rPr>
        <w:t>сод.</w:t>
      </w:r>
      <w:r w:rsidRPr="00F9259B">
        <w:t>,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F9259B">
      <w:pPr>
        <w:jc w:val="both"/>
      </w:pPr>
      <w:r w:rsidRPr="00F9259B">
        <w:t>где:</w:t>
      </w:r>
    </w:p>
    <w:p w:rsidR="00F9259B" w:rsidRPr="00F9259B" w:rsidRDefault="00F9259B" w:rsidP="00F9259B">
      <w:pPr>
        <w:jc w:val="both"/>
      </w:pPr>
      <w:r w:rsidRPr="00F9259B">
        <w:t>А</w:t>
      </w:r>
      <w:r w:rsidRPr="00F9259B">
        <w:rPr>
          <w:vertAlign w:val="subscript"/>
        </w:rPr>
        <w:t>сод.</w:t>
      </w:r>
      <w:r w:rsidRPr="00F9259B">
        <w:t xml:space="preserve"> - размер ассигнований из бюджета </w:t>
      </w:r>
      <w:r w:rsidR="00681C32">
        <w:t>городской Админ</w:t>
      </w:r>
      <w:r w:rsidR="009855F0">
        <w:t>и</w:t>
      </w:r>
      <w:r w:rsidR="00681C32">
        <w:t>страции</w:t>
      </w:r>
      <w:r w:rsidRPr="00F9259B">
        <w:t xml:space="preserve"> на выполнение работ по содержанию автомобильных дорог местного значения каждой категории;</w:t>
      </w:r>
    </w:p>
    <w:p w:rsidR="00F9259B" w:rsidRPr="00F9259B" w:rsidRDefault="00F9259B" w:rsidP="00F9259B">
      <w:pPr>
        <w:jc w:val="both"/>
      </w:pPr>
      <w:r w:rsidRPr="00F9259B">
        <w:t>Н</w:t>
      </w:r>
      <w:r w:rsidRPr="00F9259B">
        <w:rPr>
          <w:vertAlign w:val="subscript"/>
        </w:rPr>
        <w:t>прив.сод.</w:t>
      </w:r>
      <w:r w:rsidRPr="00F9259B">
        <w:t xml:space="preserve"> - приведенный норматив финансовых затрат на работы по содержанию автомобильных дорог местного значения каждой категории</w:t>
      </w:r>
      <w:r w:rsidR="00BA5406">
        <w:t>, применяется в зависимости от вида работ, сезонности и вида покрытия дорог</w:t>
      </w:r>
      <w:r w:rsidRPr="00F9259B">
        <w:t>;</w:t>
      </w:r>
    </w:p>
    <w:p w:rsidR="00F9259B" w:rsidRPr="00F9259B" w:rsidRDefault="00F9259B" w:rsidP="00F9259B">
      <w:pPr>
        <w:jc w:val="both"/>
      </w:pPr>
      <w:r w:rsidRPr="00F9259B">
        <w:t>L</w:t>
      </w:r>
      <w:r w:rsidRPr="00F9259B">
        <w:rPr>
          <w:vertAlign w:val="subscript"/>
        </w:rPr>
        <w:t>сод.</w:t>
      </w:r>
      <w:r w:rsidRPr="00F9259B">
        <w:t xml:space="preserve"> - площадь автомобильных дорог общего пользования местного значения каждой категории на 1 января года, предшествующего планируемому периоду, с учетом передачи автодорог в муниципальную собственность и ввода объектов строительства, реконструкции, предусмотренного в течение года, предшествующего планируемому.</w:t>
      </w:r>
    </w:p>
    <w:p w:rsidR="00F9259B" w:rsidRPr="00F9259B" w:rsidRDefault="00F9259B" w:rsidP="00681C32">
      <w:pPr>
        <w:ind w:firstLine="709"/>
        <w:jc w:val="both"/>
      </w:pPr>
      <w:r w:rsidRPr="00F9259B">
        <w:t xml:space="preserve">Общая потребность в ассигнованиях из бюджета </w:t>
      </w:r>
      <w:r w:rsidR="00681C32">
        <w:t>городской Админ</w:t>
      </w:r>
      <w:r w:rsidR="009855F0">
        <w:t>ист</w:t>
      </w:r>
      <w:r w:rsidR="00681C32">
        <w:t>р</w:t>
      </w:r>
      <w:r w:rsidR="009855F0">
        <w:t>а</w:t>
      </w:r>
      <w:r w:rsidR="00681C32">
        <w:t>ции</w:t>
      </w:r>
      <w:r w:rsidRPr="00F9259B">
        <w:t xml:space="preserve"> на выполнение работ по содержанию автомобильных дорог местного значения определяется как сумма ассигнований из бюджета </w:t>
      </w:r>
      <w:r w:rsidR="00681C32">
        <w:t>городской Админ</w:t>
      </w:r>
      <w:r w:rsidR="009855F0">
        <w:t>и</w:t>
      </w:r>
      <w:r w:rsidR="00681C32">
        <w:t>страции</w:t>
      </w:r>
      <w:r w:rsidRPr="00F9259B">
        <w:t xml:space="preserve"> на выполнение работ по содержанию автомобильных дорог местного значения по всем категориям автомобильных дорог местного значения.</w:t>
      </w:r>
    </w:p>
    <w:p w:rsidR="00F9259B" w:rsidRPr="00F9259B" w:rsidRDefault="00F9259B" w:rsidP="00681C32">
      <w:pPr>
        <w:ind w:firstLine="709"/>
        <w:jc w:val="both"/>
      </w:pPr>
      <w:r w:rsidRPr="00F9259B">
        <w:t xml:space="preserve">5. Суммарная годовая потребность в ассигнованиях из бюджета </w:t>
      </w:r>
      <w:r w:rsidR="009855F0">
        <w:t>городской Админ</w:t>
      </w:r>
      <w:r w:rsidR="00681C32">
        <w:t>и</w:t>
      </w:r>
      <w:r w:rsidR="009855F0">
        <w:t>с</w:t>
      </w:r>
      <w:bookmarkStart w:id="1" w:name="_GoBack"/>
      <w:bookmarkEnd w:id="1"/>
      <w:r w:rsidR="00681C32">
        <w:t>трации</w:t>
      </w:r>
      <w:r w:rsidRPr="00F9259B">
        <w:t xml:space="preserve"> для выполнения комплекса дорожных работ на автомобильных дорогах </w:t>
      </w:r>
      <w:r w:rsidRPr="00F9259B">
        <w:lastRenderedPageBreak/>
        <w:t>местного значения определяется как сумма годовой потребности в финансировании всех видов работ по всем категориям автомобильных дорог местного значения.</w:t>
      </w:r>
    </w:p>
    <w:p w:rsidR="00F9259B" w:rsidRPr="00F9259B" w:rsidRDefault="00F9259B" w:rsidP="00681C32">
      <w:pPr>
        <w:ind w:firstLine="709"/>
        <w:jc w:val="both"/>
      </w:pPr>
      <w:r w:rsidRPr="00F9259B">
        <w:t>6. 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передачи автодорог в муниципальную собственность</w:t>
      </w:r>
      <w:r w:rsidR="00D72515">
        <w:t>, в том числе выявленных в ходе объездов, осмотров городской территории (бесхозяйные)</w:t>
      </w:r>
      <w:r w:rsidRPr="00F9259B">
        <w:t xml:space="preserve"> и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измеряются в кв. м).</w:t>
      </w:r>
    </w:p>
    <w:p w:rsidR="00F9259B" w:rsidRPr="00F9259B" w:rsidRDefault="00F9259B" w:rsidP="00681C32">
      <w:pPr>
        <w:ind w:firstLine="709"/>
        <w:jc w:val="both"/>
      </w:pPr>
      <w:r w:rsidRPr="00F9259B">
        <w:t>7. Расчетная площадь автомобильных дорог местного значения каждой категории, подлежащих капитальному ремонту на год планирования (L</w:t>
      </w:r>
      <w:r w:rsidRPr="00F9259B">
        <w:rPr>
          <w:vertAlign w:val="subscript"/>
        </w:rPr>
        <w:t>кап.рем.</w:t>
      </w:r>
      <w:r w:rsidRPr="00F9259B">
        <w:t>) определяется по формуле: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681C32">
      <w:pPr>
        <w:jc w:val="center"/>
      </w:pPr>
      <w:r w:rsidRPr="00F9259B">
        <w:t>L</w:t>
      </w:r>
      <w:r w:rsidRPr="00F9259B">
        <w:rPr>
          <w:vertAlign w:val="subscript"/>
        </w:rPr>
        <w:t>кап.рем.</w:t>
      </w:r>
      <w:r w:rsidRPr="00F9259B">
        <w:t xml:space="preserve"> </w:t>
      </w:r>
      <w:r w:rsidRPr="00F9259B">
        <w:rPr>
          <w:vertAlign w:val="superscript"/>
        </w:rPr>
        <w:t>=</w:t>
      </w:r>
      <w:r w:rsidRPr="00F9259B">
        <w:t xml:space="preserve"> L / Т</w:t>
      </w:r>
      <w:r w:rsidRPr="00F9259B">
        <w:rPr>
          <w:vertAlign w:val="subscript"/>
        </w:rPr>
        <w:t>кап.рем.</w:t>
      </w:r>
      <w:r w:rsidRPr="00F9259B">
        <w:t xml:space="preserve"> - L</w:t>
      </w:r>
      <w:r w:rsidRPr="00F9259B">
        <w:rPr>
          <w:vertAlign w:val="subscript"/>
        </w:rPr>
        <w:t>рек.</w:t>
      </w:r>
      <w:r w:rsidRPr="00F9259B">
        <w:t>,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F9259B">
      <w:pPr>
        <w:jc w:val="both"/>
      </w:pPr>
      <w:r w:rsidRPr="00F9259B">
        <w:t>где:</w:t>
      </w:r>
    </w:p>
    <w:p w:rsidR="00F9259B" w:rsidRPr="00681C32" w:rsidRDefault="00F9259B" w:rsidP="00F9259B">
      <w:pPr>
        <w:jc w:val="both"/>
      </w:pPr>
      <w:r w:rsidRPr="00F9259B">
        <w:t>Т</w:t>
      </w:r>
      <w:r w:rsidRPr="00F9259B">
        <w:rPr>
          <w:vertAlign w:val="subscript"/>
        </w:rPr>
        <w:t>кап.рем.</w:t>
      </w:r>
      <w:r w:rsidRPr="00F9259B">
        <w:t xml:space="preserve"> - нормативный межремонтный срок работ по капитальному ремонту для автомобильных дорог местного значения каждой категории согласно </w:t>
      </w:r>
      <w:hyperlink r:id="rId9" w:history="1">
        <w:r w:rsidRPr="00681C32">
          <w:rPr>
            <w:rStyle w:val="af4"/>
            <w:color w:val="auto"/>
            <w:u w:val="none"/>
          </w:rPr>
          <w:t>таблице 2</w:t>
        </w:r>
      </w:hyperlink>
      <w:r w:rsidRPr="00681C32">
        <w:t>;</w:t>
      </w:r>
    </w:p>
    <w:p w:rsidR="00F9259B" w:rsidRPr="00F9259B" w:rsidRDefault="00F9259B" w:rsidP="00F9259B">
      <w:pPr>
        <w:jc w:val="both"/>
      </w:pPr>
      <w:r w:rsidRPr="00F9259B">
        <w:t>L</w:t>
      </w:r>
      <w:r w:rsidRPr="00F9259B">
        <w:rPr>
          <w:vertAlign w:val="subscript"/>
        </w:rPr>
        <w:t>рек.</w:t>
      </w:r>
      <w:r w:rsidRPr="00F9259B">
        <w:t xml:space="preserve"> - площадь автомобильных дорог местного значения соответствующей категории, намеченных к реконструкции на год планирования;</w:t>
      </w:r>
    </w:p>
    <w:p w:rsidR="00F9259B" w:rsidRPr="00F9259B" w:rsidRDefault="00F9259B" w:rsidP="00F9259B">
      <w:pPr>
        <w:jc w:val="both"/>
      </w:pPr>
      <w:r w:rsidRPr="00F9259B">
        <w:t>L - площадь автомобильных дорог местного значения каждой категории на 1 января года, предшествующего планируемому периоду, с учетом передачи автодорог в муниципальную собственность и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периоду.</w:t>
      </w:r>
    </w:p>
    <w:p w:rsidR="00F9259B" w:rsidRPr="00F9259B" w:rsidRDefault="00F9259B" w:rsidP="00681C32">
      <w:pPr>
        <w:ind w:firstLine="709"/>
        <w:jc w:val="both"/>
      </w:pPr>
      <w:r w:rsidRPr="00F9259B">
        <w:t>8. Расчетная площадь автомобильных дорог местного значения соответствующей категории, подлежащих ремонту на год планирования (L</w:t>
      </w:r>
      <w:r w:rsidRPr="00F9259B">
        <w:rPr>
          <w:vertAlign w:val="subscript"/>
        </w:rPr>
        <w:t>рем.</w:t>
      </w:r>
      <w:r w:rsidRPr="00F9259B">
        <w:t>), определяется по формуле: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681C32">
      <w:pPr>
        <w:jc w:val="center"/>
      </w:pPr>
      <w:r w:rsidRPr="00F9259B">
        <w:t>L</w:t>
      </w:r>
      <w:r w:rsidRPr="00F9259B">
        <w:rPr>
          <w:vertAlign w:val="subscript"/>
        </w:rPr>
        <w:t>рем.</w:t>
      </w:r>
      <w:r w:rsidRPr="00F9259B">
        <w:t xml:space="preserve"> = L / Т</w:t>
      </w:r>
      <w:r w:rsidRPr="00F9259B">
        <w:rPr>
          <w:vertAlign w:val="subscript"/>
        </w:rPr>
        <w:t>рем.</w:t>
      </w:r>
      <w:r w:rsidRPr="00F9259B">
        <w:t xml:space="preserve"> - (L</w:t>
      </w:r>
      <w:r w:rsidRPr="00F9259B">
        <w:rPr>
          <w:vertAlign w:val="subscript"/>
        </w:rPr>
        <w:t>рек.</w:t>
      </w:r>
      <w:r w:rsidRPr="00F9259B">
        <w:t xml:space="preserve"> + L</w:t>
      </w:r>
      <w:r w:rsidRPr="00F9259B">
        <w:rPr>
          <w:vertAlign w:val="subscript"/>
        </w:rPr>
        <w:t>кап.рем.</w:t>
      </w:r>
      <w:r w:rsidRPr="00F9259B">
        <w:t>),</w:t>
      </w:r>
    </w:p>
    <w:p w:rsidR="00F9259B" w:rsidRPr="00F9259B" w:rsidRDefault="00F9259B" w:rsidP="00F9259B">
      <w:pPr>
        <w:jc w:val="both"/>
      </w:pPr>
    </w:p>
    <w:p w:rsidR="00F9259B" w:rsidRPr="00F9259B" w:rsidRDefault="00F9259B" w:rsidP="00F9259B">
      <w:pPr>
        <w:jc w:val="both"/>
      </w:pPr>
      <w:r w:rsidRPr="00F9259B">
        <w:t>где:</w:t>
      </w:r>
    </w:p>
    <w:p w:rsidR="00F9259B" w:rsidRPr="00681C32" w:rsidRDefault="00F9259B" w:rsidP="00F9259B">
      <w:pPr>
        <w:jc w:val="both"/>
      </w:pPr>
      <w:r w:rsidRPr="00F9259B">
        <w:t>Т</w:t>
      </w:r>
      <w:r w:rsidRPr="00F9259B">
        <w:rPr>
          <w:vertAlign w:val="subscript"/>
        </w:rPr>
        <w:t>рем.</w:t>
      </w:r>
      <w:r w:rsidRPr="00F9259B">
        <w:t xml:space="preserve"> - нормативный межремонтный срок работ по ремонту для дорог каждой категории согласно </w:t>
      </w:r>
      <w:r w:rsidR="00681C32">
        <w:t>таблица 2.</w:t>
      </w:r>
    </w:p>
    <w:p w:rsidR="00681C32" w:rsidRDefault="00681C32" w:rsidP="00F9259B">
      <w:pPr>
        <w:jc w:val="both"/>
      </w:pPr>
    </w:p>
    <w:p w:rsidR="00681C32" w:rsidRPr="00681C32" w:rsidRDefault="00681C32" w:rsidP="00681C32">
      <w:pPr>
        <w:jc w:val="both"/>
      </w:pPr>
    </w:p>
    <w:p w:rsidR="00681C32" w:rsidRDefault="00681C32" w:rsidP="00681C32">
      <w:pPr>
        <w:jc w:val="right"/>
      </w:pPr>
      <w:r>
        <w:t>Таблица 2</w:t>
      </w:r>
    </w:p>
    <w:p w:rsidR="00681C32" w:rsidRDefault="00681C32" w:rsidP="00681C32">
      <w:pPr>
        <w:jc w:val="right"/>
      </w:pPr>
      <w:r w:rsidRPr="00681C32">
        <w:t xml:space="preserve"> </w:t>
      </w:r>
    </w:p>
    <w:p w:rsidR="00681C32" w:rsidRPr="00681C32" w:rsidRDefault="00681C32" w:rsidP="00681C32">
      <w:pPr>
        <w:jc w:val="center"/>
      </w:pPr>
      <w:r w:rsidRPr="00681C32">
        <w:t>Нормативные межремонтные сроки работ</w:t>
      </w:r>
    </w:p>
    <w:p w:rsidR="00681C32" w:rsidRPr="00681C32" w:rsidRDefault="00681C32" w:rsidP="00681C32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071"/>
        <w:gridCol w:w="1842"/>
        <w:gridCol w:w="1985"/>
      </w:tblGrid>
      <w:tr w:rsidR="00681C32" w:rsidRPr="00681C32" w:rsidTr="00681C32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32" w:rsidRPr="00681C32" w:rsidRDefault="00681C32" w:rsidP="00681C32">
            <w:pPr>
              <w:jc w:val="both"/>
            </w:pPr>
            <w:r w:rsidRPr="00681C32">
              <w:t xml:space="preserve">Наименование работ 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32" w:rsidRPr="00681C32" w:rsidRDefault="00681C32" w:rsidP="00681C32">
            <w:pPr>
              <w:jc w:val="center"/>
            </w:pPr>
            <w:r w:rsidRPr="00681C32">
              <w:t>Категории дорог (лет)</w:t>
            </w:r>
          </w:p>
        </w:tc>
      </w:tr>
      <w:tr w:rsidR="00681C32" w:rsidRPr="00681C32" w:rsidTr="00681C32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32" w:rsidRPr="00681C32" w:rsidRDefault="00681C32" w:rsidP="00681C32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32" w:rsidRPr="00681C32" w:rsidRDefault="00681C32" w:rsidP="00681C32">
            <w:pPr>
              <w:jc w:val="center"/>
            </w:pPr>
            <w:r w:rsidRPr="00681C32"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32" w:rsidRPr="00681C32" w:rsidRDefault="00681C32" w:rsidP="00681C32">
            <w:pPr>
              <w:jc w:val="center"/>
            </w:pPr>
            <w:r w:rsidRPr="00681C32"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32" w:rsidRPr="00681C32" w:rsidRDefault="00681C32" w:rsidP="00681C32">
            <w:pPr>
              <w:jc w:val="center"/>
            </w:pPr>
            <w:r w:rsidRPr="00681C32">
              <w:t>V</w:t>
            </w:r>
          </w:p>
        </w:tc>
      </w:tr>
      <w:tr w:rsidR="00681C32" w:rsidRPr="00681C32" w:rsidTr="00681C3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32" w:rsidRPr="00681C32" w:rsidRDefault="00681C32" w:rsidP="00681C32">
            <w:pPr>
              <w:jc w:val="both"/>
            </w:pPr>
            <w:r w:rsidRPr="00681C32">
              <w:t xml:space="preserve">Капитальный ремонт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32" w:rsidRPr="00681C32" w:rsidRDefault="00681C32" w:rsidP="00681C32">
            <w:pPr>
              <w:jc w:val="center"/>
            </w:pPr>
            <w:r w:rsidRPr="00681C32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32" w:rsidRPr="00681C32" w:rsidRDefault="00681C32" w:rsidP="00681C32">
            <w:pPr>
              <w:jc w:val="center"/>
            </w:pPr>
            <w:r w:rsidRPr="00681C32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32" w:rsidRPr="00681C32" w:rsidRDefault="00681C32" w:rsidP="00681C32">
            <w:pPr>
              <w:jc w:val="center"/>
            </w:pPr>
            <w:r w:rsidRPr="00681C32">
              <w:t>6</w:t>
            </w:r>
          </w:p>
        </w:tc>
      </w:tr>
      <w:tr w:rsidR="00681C32" w:rsidRPr="00681C32" w:rsidTr="00681C3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32" w:rsidRPr="00681C32" w:rsidRDefault="00681C32" w:rsidP="00681C32">
            <w:pPr>
              <w:jc w:val="both"/>
            </w:pPr>
            <w:r w:rsidRPr="00681C32">
              <w:t xml:space="preserve">Ремонт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32" w:rsidRPr="00681C32" w:rsidRDefault="00681C32" w:rsidP="00681C32">
            <w:pPr>
              <w:jc w:val="center"/>
            </w:pPr>
            <w:r w:rsidRPr="00681C32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32" w:rsidRPr="00681C32" w:rsidRDefault="00681C32" w:rsidP="00681C32">
            <w:pPr>
              <w:jc w:val="center"/>
            </w:pPr>
            <w:r w:rsidRPr="00681C3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32" w:rsidRPr="00681C32" w:rsidRDefault="00681C32" w:rsidP="00681C32">
            <w:pPr>
              <w:jc w:val="center"/>
            </w:pPr>
            <w:r w:rsidRPr="00681C32">
              <w:t>3</w:t>
            </w:r>
          </w:p>
        </w:tc>
      </w:tr>
    </w:tbl>
    <w:p w:rsidR="00681C32" w:rsidRPr="00F9259B" w:rsidRDefault="00681C32" w:rsidP="00F9259B">
      <w:pPr>
        <w:jc w:val="both"/>
      </w:pPr>
    </w:p>
    <w:p w:rsidR="00F9259B" w:rsidRPr="00F9259B" w:rsidRDefault="00F9259B" w:rsidP="00F9259B">
      <w:pPr>
        <w:jc w:val="both"/>
      </w:pPr>
    </w:p>
    <w:sectPr w:rsidR="00F9259B" w:rsidRPr="00F9259B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D0" w:rsidRDefault="00DD6AD0" w:rsidP="00452236">
      <w:r>
        <w:separator/>
      </w:r>
    </w:p>
  </w:endnote>
  <w:endnote w:type="continuationSeparator" w:id="0">
    <w:p w:rsidR="00DD6AD0" w:rsidRDefault="00DD6AD0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D0" w:rsidRDefault="00DD6AD0" w:rsidP="00452236">
      <w:r>
        <w:separator/>
      </w:r>
    </w:p>
  </w:footnote>
  <w:footnote w:type="continuationSeparator" w:id="0">
    <w:p w:rsidR="00DD6AD0" w:rsidRDefault="00DD6AD0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0FC4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C6A3B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3354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AC2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0A7F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2DD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6640"/>
    <w:rsid w:val="002C7F7E"/>
    <w:rsid w:val="002D0B12"/>
    <w:rsid w:val="002D2E26"/>
    <w:rsid w:val="002D2E80"/>
    <w:rsid w:val="002D3A50"/>
    <w:rsid w:val="002D64EA"/>
    <w:rsid w:val="002D6573"/>
    <w:rsid w:val="002D66BB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7B6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096B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4340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450E"/>
    <w:rsid w:val="004F61EC"/>
    <w:rsid w:val="004F7F1C"/>
    <w:rsid w:val="00500D99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3555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B7EE0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2574"/>
    <w:rsid w:val="0060383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23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32"/>
    <w:rsid w:val="00681C67"/>
    <w:rsid w:val="0068258C"/>
    <w:rsid w:val="00682D35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0EB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0C0D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5A3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218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855F0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39EC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C48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A2E51"/>
    <w:rsid w:val="00BA5406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5574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2515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D6AD0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66C1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35354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053F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1074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3C59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2E4C"/>
    <w:rsid w:val="00F73B68"/>
    <w:rsid w:val="00F73DB4"/>
    <w:rsid w:val="00F73F21"/>
    <w:rsid w:val="00F7563C"/>
    <w:rsid w:val="00F76357"/>
    <w:rsid w:val="00F77D15"/>
    <w:rsid w:val="00F80075"/>
    <w:rsid w:val="00F83770"/>
    <w:rsid w:val="00F84DEA"/>
    <w:rsid w:val="00F87547"/>
    <w:rsid w:val="00F90557"/>
    <w:rsid w:val="00F9069E"/>
    <w:rsid w:val="00F9259B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38B7BE-35D1-4A34-A3FD-B4797B4A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C95E41ADD4B0A310A5C667112644B6E43F221D7F1F141E9CB18BE8604A09CBB2CAD918275882F472F7E851C29F2E648761C9FF895D9351338F8wFY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3E9C-B77D-432E-B43A-E54D9771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1009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8593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4</cp:revision>
  <cp:lastPrinted>2019-02-05T01:19:00Z</cp:lastPrinted>
  <dcterms:created xsi:type="dcterms:W3CDTF">2019-02-06T07:49:00Z</dcterms:created>
  <dcterms:modified xsi:type="dcterms:W3CDTF">2019-02-06T07:52:00Z</dcterms:modified>
</cp:coreProperties>
</file>